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Theme="minorEastAsia" w:hAnsi="Arial" w:cstheme="minorBidi"/>
          <w:b w:val="0"/>
          <w:bCs w:val="0"/>
          <w:color w:val="auto"/>
          <w:sz w:val="22"/>
          <w:szCs w:val="24"/>
          <w:lang w:val="es-ES" w:eastAsia="ja-JP"/>
        </w:rPr>
        <w:id w:val="-1969504010"/>
        <w:docPartObj>
          <w:docPartGallery w:val="Table of Contents"/>
          <w:docPartUnique/>
        </w:docPartObj>
      </w:sdtPr>
      <w:sdtEndPr>
        <w:rPr>
          <w:noProof/>
          <w:sz w:val="20"/>
          <w:lang w:val="es-ES_tradnl"/>
        </w:rPr>
      </w:sdtEndPr>
      <w:sdtContent>
        <w:p w14:paraId="2F3EC122" w14:textId="42E42437" w:rsidR="003C2780" w:rsidRDefault="003C2780">
          <w:pPr>
            <w:pStyle w:val="TtulodeTDC"/>
          </w:pPr>
          <w:r>
            <w:rPr>
              <w:lang w:val="es-ES"/>
            </w:rPr>
            <w:t>Tabla de contenido</w:t>
          </w:r>
        </w:p>
        <w:p w14:paraId="767E9421" w14:textId="77777777" w:rsidR="00600ACB" w:rsidRDefault="003C2780">
          <w:pPr>
            <w:pStyle w:val="TDC1"/>
            <w:tabs>
              <w:tab w:val="right" w:leader="dot" w:pos="8488"/>
            </w:tabs>
            <w:rPr>
              <w:b w:val="0"/>
              <w:noProof/>
              <w:lang w:val="es-PE"/>
            </w:rPr>
          </w:pPr>
          <w:r>
            <w:rPr>
              <w:b w:val="0"/>
            </w:rPr>
            <w:fldChar w:fldCharType="begin"/>
          </w:r>
          <w:r>
            <w:instrText>TOC \o "1-3" \h \z \u</w:instrText>
          </w:r>
          <w:r>
            <w:rPr>
              <w:b w:val="0"/>
            </w:rPr>
            <w:fldChar w:fldCharType="separate"/>
          </w:r>
          <w:r w:rsidR="00600ACB">
            <w:rPr>
              <w:noProof/>
            </w:rPr>
            <w:t>12. ANEXOS</w:t>
          </w:r>
          <w:r w:rsidR="00600ACB">
            <w:rPr>
              <w:noProof/>
            </w:rPr>
            <w:tab/>
          </w:r>
          <w:r w:rsidR="00600ACB">
            <w:rPr>
              <w:noProof/>
            </w:rPr>
            <w:fldChar w:fldCharType="begin"/>
          </w:r>
          <w:r w:rsidR="00600ACB">
            <w:rPr>
              <w:noProof/>
            </w:rPr>
            <w:instrText xml:space="preserve"> PAGEREF _Toc299554788 \h </w:instrText>
          </w:r>
          <w:r w:rsidR="00600ACB">
            <w:rPr>
              <w:noProof/>
            </w:rPr>
          </w:r>
          <w:r w:rsidR="00600ACB">
            <w:rPr>
              <w:noProof/>
            </w:rPr>
            <w:fldChar w:fldCharType="separate"/>
          </w:r>
          <w:r w:rsidR="00600ACB">
            <w:rPr>
              <w:noProof/>
            </w:rPr>
            <w:t>2</w:t>
          </w:r>
          <w:r w:rsidR="00600ACB">
            <w:rPr>
              <w:noProof/>
            </w:rPr>
            <w:fldChar w:fldCharType="end"/>
          </w:r>
        </w:p>
        <w:p w14:paraId="7105AB79" w14:textId="03EE33F2" w:rsidR="00600ACB" w:rsidRDefault="00600ACB">
          <w:pPr>
            <w:pStyle w:val="TDC2"/>
            <w:tabs>
              <w:tab w:val="right" w:leader="dot" w:pos="8488"/>
            </w:tabs>
            <w:rPr>
              <w:b w:val="0"/>
              <w:noProof/>
              <w:sz w:val="24"/>
              <w:szCs w:val="24"/>
              <w:lang w:val="es-PE"/>
            </w:rPr>
          </w:pPr>
          <w:r>
            <w:rPr>
              <w:noProof/>
            </w:rPr>
            <w:t>Anexo 1:</w:t>
          </w:r>
          <w:r w:rsidR="00430EC5">
            <w:rPr>
              <w:noProof/>
            </w:rPr>
            <w:t>Antecedentes</w:t>
          </w:r>
          <w:r>
            <w:rPr>
              <w:noProof/>
            </w:rPr>
            <w:tab/>
          </w:r>
          <w:r>
            <w:rPr>
              <w:noProof/>
            </w:rPr>
            <w:fldChar w:fldCharType="begin"/>
          </w:r>
          <w:r>
            <w:rPr>
              <w:noProof/>
            </w:rPr>
            <w:instrText xml:space="preserve"> PAGEREF _Toc299554789 \h </w:instrText>
          </w:r>
          <w:r>
            <w:rPr>
              <w:noProof/>
            </w:rPr>
          </w:r>
          <w:r>
            <w:rPr>
              <w:noProof/>
            </w:rPr>
            <w:fldChar w:fldCharType="separate"/>
          </w:r>
          <w:r>
            <w:rPr>
              <w:noProof/>
            </w:rPr>
            <w:t>2</w:t>
          </w:r>
          <w:r>
            <w:rPr>
              <w:noProof/>
            </w:rPr>
            <w:fldChar w:fldCharType="end"/>
          </w:r>
        </w:p>
        <w:p w14:paraId="019039F8" w14:textId="6458AC6B" w:rsidR="00600ACB" w:rsidRDefault="00600ACB">
          <w:pPr>
            <w:pStyle w:val="TDC2"/>
            <w:tabs>
              <w:tab w:val="right" w:leader="dot" w:pos="8488"/>
            </w:tabs>
            <w:rPr>
              <w:b w:val="0"/>
              <w:noProof/>
              <w:sz w:val="24"/>
              <w:szCs w:val="24"/>
              <w:lang w:val="es-PE"/>
            </w:rPr>
          </w:pPr>
          <w:r>
            <w:rPr>
              <w:noProof/>
            </w:rPr>
            <w:t>Anexo 2: Definiciones básicas en el Presupuestos por Resultados (PpR)</w:t>
          </w:r>
          <w:r>
            <w:rPr>
              <w:noProof/>
            </w:rPr>
            <w:tab/>
          </w:r>
          <w:r w:rsidR="00AF7619">
            <w:rPr>
              <w:noProof/>
            </w:rPr>
            <w:t>29</w:t>
          </w:r>
        </w:p>
        <w:p w14:paraId="150CA00F" w14:textId="34D9F0F4" w:rsidR="00600ACB" w:rsidRDefault="00600ACB">
          <w:pPr>
            <w:pStyle w:val="TDC2"/>
            <w:tabs>
              <w:tab w:val="right" w:leader="dot" w:pos="8488"/>
            </w:tabs>
            <w:rPr>
              <w:b w:val="0"/>
              <w:noProof/>
              <w:sz w:val="24"/>
              <w:szCs w:val="24"/>
              <w:lang w:val="es-PE"/>
            </w:rPr>
          </w:pPr>
          <w:r w:rsidRPr="00DB1BBC">
            <w:rPr>
              <w:rFonts w:cs="Arial"/>
              <w:noProof/>
            </w:rPr>
            <w:t xml:space="preserve">Anexo 3: </w:t>
          </w:r>
          <w:r w:rsidRPr="00DB1BBC">
            <w:rPr>
              <w:rFonts w:cs="Arial"/>
              <w:noProof/>
              <w:lang w:val="es-ES"/>
            </w:rPr>
            <w:t>Implementación del PpR</w:t>
          </w:r>
          <w:r>
            <w:rPr>
              <w:noProof/>
            </w:rPr>
            <w:tab/>
          </w:r>
          <w:r w:rsidR="00AF7619">
            <w:rPr>
              <w:noProof/>
            </w:rPr>
            <w:t>31</w:t>
          </w:r>
        </w:p>
        <w:p w14:paraId="20652570" w14:textId="0C6303BB" w:rsidR="00600ACB" w:rsidRDefault="00600ACB">
          <w:pPr>
            <w:pStyle w:val="TDC2"/>
            <w:tabs>
              <w:tab w:val="right" w:leader="dot" w:pos="8488"/>
            </w:tabs>
            <w:rPr>
              <w:b w:val="0"/>
              <w:noProof/>
              <w:sz w:val="24"/>
              <w:szCs w:val="24"/>
              <w:lang w:val="es-PE"/>
            </w:rPr>
          </w:pPr>
          <w:r w:rsidRPr="00DB1BBC">
            <w:rPr>
              <w:rFonts w:cs="Arial"/>
              <w:noProof/>
            </w:rPr>
            <w:t>Anexo 4: Elementos que comprenden el Programa Presupuestal</w:t>
          </w:r>
          <w:r>
            <w:rPr>
              <w:noProof/>
            </w:rPr>
            <w:tab/>
          </w:r>
          <w:r w:rsidR="00AF7619">
            <w:rPr>
              <w:noProof/>
            </w:rPr>
            <w:t>33</w:t>
          </w:r>
        </w:p>
        <w:p w14:paraId="6359EB53" w14:textId="02CA4230" w:rsidR="00600ACB" w:rsidRDefault="00600ACB">
          <w:pPr>
            <w:pStyle w:val="TDC2"/>
            <w:tabs>
              <w:tab w:val="right" w:leader="dot" w:pos="8488"/>
            </w:tabs>
            <w:rPr>
              <w:b w:val="0"/>
              <w:noProof/>
              <w:sz w:val="24"/>
              <w:szCs w:val="24"/>
              <w:lang w:val="es-PE"/>
            </w:rPr>
          </w:pPr>
          <w:r w:rsidRPr="00DB1BBC">
            <w:rPr>
              <w:rFonts w:cs="Arial"/>
              <w:noProof/>
            </w:rPr>
            <w:t>Anexo 5: Fases y etapas para la efectiva articulación territorial del Proceso Presupuestario</w:t>
          </w:r>
          <w:r>
            <w:rPr>
              <w:noProof/>
            </w:rPr>
            <w:tab/>
          </w:r>
          <w:r w:rsidR="00AF7619">
            <w:rPr>
              <w:noProof/>
            </w:rPr>
            <w:t>35</w:t>
          </w:r>
        </w:p>
        <w:p w14:paraId="0BA5C91A" w14:textId="685D4CB2" w:rsidR="00600ACB" w:rsidRDefault="00600ACB">
          <w:pPr>
            <w:pStyle w:val="TDC2"/>
            <w:tabs>
              <w:tab w:val="right" w:leader="dot" w:pos="8488"/>
            </w:tabs>
            <w:rPr>
              <w:b w:val="0"/>
              <w:noProof/>
              <w:sz w:val="24"/>
              <w:szCs w:val="24"/>
              <w:lang w:val="es-PE"/>
            </w:rPr>
          </w:pPr>
          <w:r w:rsidRPr="00DB1BBC">
            <w:rPr>
              <w:rFonts w:cs="Arial"/>
              <w:noProof/>
            </w:rPr>
            <w:t>Anexo 6: Fases del proceso del Presupuesto Participativo basado en Resultados</w:t>
          </w:r>
          <w:r>
            <w:rPr>
              <w:noProof/>
            </w:rPr>
            <w:tab/>
          </w:r>
          <w:r w:rsidR="00AF7619">
            <w:rPr>
              <w:noProof/>
            </w:rPr>
            <w:t>37</w:t>
          </w:r>
        </w:p>
        <w:p w14:paraId="7220A27D" w14:textId="2CB1EB59" w:rsidR="00600ACB" w:rsidRDefault="00600ACB">
          <w:pPr>
            <w:pStyle w:val="TDC2"/>
            <w:tabs>
              <w:tab w:val="right" w:leader="dot" w:pos="8488"/>
            </w:tabs>
            <w:rPr>
              <w:b w:val="0"/>
              <w:noProof/>
              <w:sz w:val="24"/>
              <w:szCs w:val="24"/>
              <w:lang w:val="es-PE"/>
            </w:rPr>
          </w:pPr>
          <w:r w:rsidRPr="00DB1BBC">
            <w:rPr>
              <w:rFonts w:cs="Arial"/>
              <w:noProof/>
            </w:rPr>
            <w:t>Anexo 7: Fases y Entidades en el Sistema Nacional de Inversión Pública</w:t>
          </w:r>
          <w:r>
            <w:rPr>
              <w:noProof/>
            </w:rPr>
            <w:tab/>
          </w:r>
          <w:r w:rsidR="00AF7619">
            <w:rPr>
              <w:noProof/>
            </w:rPr>
            <w:t>42</w:t>
          </w:r>
        </w:p>
        <w:p w14:paraId="69069084" w14:textId="3EB46B76" w:rsidR="00600ACB" w:rsidRDefault="00600ACB">
          <w:pPr>
            <w:pStyle w:val="TDC2"/>
            <w:tabs>
              <w:tab w:val="right" w:leader="dot" w:pos="8488"/>
            </w:tabs>
            <w:rPr>
              <w:b w:val="0"/>
              <w:noProof/>
              <w:sz w:val="24"/>
              <w:szCs w:val="24"/>
              <w:lang w:val="es-PE"/>
            </w:rPr>
          </w:pPr>
          <w:r w:rsidRPr="00DB1BBC">
            <w:rPr>
              <w:rFonts w:cs="Arial"/>
              <w:noProof/>
            </w:rPr>
            <w:t>Anexo 8: Detalle de los Proyectos del Sistema Nacional de Inversión Pública (SNIP)</w:t>
          </w:r>
          <w:r>
            <w:rPr>
              <w:noProof/>
            </w:rPr>
            <w:tab/>
          </w:r>
          <w:r w:rsidR="00AF7619">
            <w:rPr>
              <w:noProof/>
            </w:rPr>
            <w:t>45</w:t>
          </w:r>
        </w:p>
        <w:p w14:paraId="4298EBC5" w14:textId="16D6EBB4" w:rsidR="00600ACB" w:rsidRDefault="00600ACB">
          <w:pPr>
            <w:pStyle w:val="TDC2"/>
            <w:tabs>
              <w:tab w:val="right" w:leader="dot" w:pos="8488"/>
            </w:tabs>
            <w:rPr>
              <w:noProof/>
            </w:rPr>
          </w:pPr>
          <w:r w:rsidRPr="00DB1BBC">
            <w:rPr>
              <w:rFonts w:cs="Arial"/>
              <w:noProof/>
            </w:rPr>
            <w:t xml:space="preserve">Anexo 9: </w:t>
          </w:r>
          <w:r>
            <w:rPr>
              <w:noProof/>
            </w:rPr>
            <w:t>Mecanismos financieros</w:t>
          </w:r>
          <w:r>
            <w:rPr>
              <w:noProof/>
            </w:rPr>
            <w:tab/>
          </w:r>
          <w:r w:rsidR="00AF7619">
            <w:rPr>
              <w:noProof/>
            </w:rPr>
            <w:t>46</w:t>
          </w:r>
        </w:p>
        <w:p w14:paraId="1EEEA4EA" w14:textId="77777777" w:rsidR="007F3286" w:rsidRPr="007F3286" w:rsidRDefault="007F3286" w:rsidP="007F3286">
          <w:bookmarkStart w:id="0" w:name="_GoBack"/>
          <w:bookmarkEnd w:id="0"/>
        </w:p>
        <w:p w14:paraId="1583F44B" w14:textId="3B6F9642" w:rsidR="003C2780" w:rsidRDefault="003C2780">
          <w:r>
            <w:rPr>
              <w:b/>
              <w:bCs/>
              <w:noProof/>
            </w:rPr>
            <w:fldChar w:fldCharType="end"/>
          </w:r>
        </w:p>
      </w:sdtContent>
    </w:sdt>
    <w:p w14:paraId="18F4C059" w14:textId="77777777" w:rsidR="003C2780" w:rsidRDefault="003C2780" w:rsidP="00547565">
      <w:pPr>
        <w:pStyle w:val="Ttulo1"/>
      </w:pPr>
    </w:p>
    <w:p w14:paraId="1E42411C" w14:textId="10C72E51" w:rsidR="00547565" w:rsidRDefault="0098710A" w:rsidP="005401D8">
      <w:pPr>
        <w:pStyle w:val="Ttulo1"/>
        <w:pageBreakBefore/>
      </w:pPr>
      <w:bookmarkStart w:id="1" w:name="_Toc299554788"/>
      <w:r>
        <w:lastRenderedPageBreak/>
        <w:t>12</w:t>
      </w:r>
      <w:r w:rsidR="00A27DD6">
        <w:t xml:space="preserve">. </w:t>
      </w:r>
      <w:r w:rsidR="00547565">
        <w:t>ANEXOS</w:t>
      </w:r>
      <w:bookmarkEnd w:id="1"/>
    </w:p>
    <w:p w14:paraId="3628034F" w14:textId="6BB0977D" w:rsidR="005A746C" w:rsidRDefault="00547565" w:rsidP="00430EC5">
      <w:pPr>
        <w:pStyle w:val="Ttulo1"/>
        <w:rPr>
          <w:lang w:val="es-PE"/>
        </w:rPr>
      </w:pPr>
      <w:bookmarkStart w:id="2" w:name="_Toc299554789"/>
      <w:r w:rsidRPr="00A27DD6">
        <w:t xml:space="preserve">Anexo 1: </w:t>
      </w:r>
      <w:bookmarkStart w:id="3" w:name="_Toc298478441"/>
      <w:bookmarkStart w:id="4" w:name="_Toc298609080"/>
      <w:bookmarkEnd w:id="2"/>
      <w:r w:rsidR="005A746C" w:rsidRPr="00FA74BC">
        <w:rPr>
          <w:lang w:val="es-PE"/>
        </w:rPr>
        <w:t>ANTECEDENTES</w:t>
      </w:r>
      <w:bookmarkEnd w:id="4"/>
    </w:p>
    <w:p w14:paraId="3813C19F" w14:textId="77777777" w:rsidR="005A746C" w:rsidRDefault="005A746C" w:rsidP="00430EC5">
      <w:pPr>
        <w:rPr>
          <w:rFonts w:cs="Arial"/>
        </w:rPr>
      </w:pPr>
      <w:r>
        <w:rPr>
          <w:rFonts w:cs="Arial"/>
        </w:rPr>
        <w:t>A continuación se expondrán diversos puntos que, según nuestra interpretación, impactan a la RNSIIPG. Se mantendrá la enumeración del documento del cual provienen.</w:t>
      </w:r>
    </w:p>
    <w:p w14:paraId="68F7B505" w14:textId="1550AC68" w:rsidR="005A746C" w:rsidRPr="00965A60" w:rsidRDefault="005A746C" w:rsidP="00430EC5">
      <w:pPr>
        <w:pStyle w:val="Ttulo2"/>
        <w:rPr>
          <w:rFonts w:cs="Arial"/>
        </w:rPr>
      </w:pPr>
      <w:r w:rsidRPr="00965A60">
        <w:rPr>
          <w:rFonts w:cs="Arial"/>
        </w:rPr>
        <w:t>1</w:t>
      </w:r>
      <w:r>
        <w:rPr>
          <w:rFonts w:cs="Arial"/>
        </w:rPr>
        <w:t>.1.</w:t>
      </w:r>
      <w:r w:rsidRPr="00965A60">
        <w:rPr>
          <w:rFonts w:cs="Arial"/>
        </w:rPr>
        <w:t xml:space="preserve"> Del Marco Legal</w:t>
      </w:r>
    </w:p>
    <w:p w14:paraId="01E86CDE" w14:textId="771F818A" w:rsidR="005A746C" w:rsidRPr="005A746C" w:rsidRDefault="005A746C" w:rsidP="00430EC5">
      <w:pPr>
        <w:pStyle w:val="Ttulo3"/>
        <w:rPr>
          <w:rFonts w:ascii="Arial" w:hAnsi="Arial" w:cs="Arial"/>
        </w:rPr>
      </w:pPr>
      <w:r w:rsidRPr="005A746C">
        <w:rPr>
          <w:rFonts w:ascii="Arial" w:hAnsi="Arial" w:cs="Arial"/>
        </w:rPr>
        <w:t xml:space="preserve">Política Nacional del Ambiente </w:t>
      </w:r>
    </w:p>
    <w:p w14:paraId="4CA53147" w14:textId="77777777" w:rsidR="005A746C" w:rsidRPr="00965A60" w:rsidRDefault="005A746C" w:rsidP="00430EC5">
      <w:pPr>
        <w:rPr>
          <w:rFonts w:cs="Arial"/>
        </w:rPr>
      </w:pPr>
      <w:r w:rsidRPr="00965A60">
        <w:rPr>
          <w:rFonts w:cs="Arial"/>
        </w:rPr>
        <w:t>La Constitución Política del Perú reconoce como derecho fundamental de la persona el gozar de un ambiente equilibrado y adecuado para el desarrollo de su vida (Art. 2, Cap. 1, Título I, CP, 1993). Para lograr esto, el Estado, mediante el Ministerio del Ambiente (MINAM), promueve la conservación y uso sostenible de los recursos naturales para mantener la armonía con el entorno y asegurar el derecho de las generaciones presentes y futuras de gozar de este (Decreto Legislativo No. 1013, título I, artículo 3.1). En este marco, la política nacional del ambiente constituye el documento orientador y promotor en materia ambiental de las entidades públicas, privadas y de la sociedad civil.</w:t>
      </w:r>
    </w:p>
    <w:p w14:paraId="78604636" w14:textId="77777777" w:rsidR="005A746C" w:rsidRPr="00965A60" w:rsidRDefault="005A746C" w:rsidP="00430EC5">
      <w:pPr>
        <w:rPr>
          <w:rFonts w:cs="Arial"/>
        </w:rPr>
      </w:pPr>
      <w:r w:rsidRPr="00965A60">
        <w:rPr>
          <w:rFonts w:cs="Arial"/>
        </w:rPr>
        <w:t>Entre los lineamientos a considerar en esta política se encuentran:</w:t>
      </w:r>
    </w:p>
    <w:p w14:paraId="20727929" w14:textId="77777777" w:rsidR="005A746C" w:rsidRPr="00104A77" w:rsidRDefault="005A746C" w:rsidP="00430EC5">
      <w:pPr>
        <w:pStyle w:val="Prrafodelista"/>
        <w:numPr>
          <w:ilvl w:val="0"/>
          <w:numId w:val="20"/>
        </w:numPr>
        <w:spacing w:after="240"/>
        <w:rPr>
          <w:rFonts w:cs="Arial"/>
        </w:rPr>
      </w:pPr>
      <w:r w:rsidRPr="00104A77">
        <w:rPr>
          <w:rFonts w:cs="Arial"/>
        </w:rPr>
        <w:t>Incentivar el manejo integrado y sostenible de los ecosistemas acuáticos, marino-costeros, con el fin de prevenir la sobreexplotación de los recursos hidrobiológicos, asegurando su conservación.</w:t>
      </w:r>
    </w:p>
    <w:p w14:paraId="629ED0D1" w14:textId="77777777" w:rsidR="005A746C" w:rsidRPr="00104A77" w:rsidRDefault="005A746C" w:rsidP="00430EC5">
      <w:pPr>
        <w:pStyle w:val="Prrafodelista"/>
        <w:numPr>
          <w:ilvl w:val="0"/>
          <w:numId w:val="20"/>
        </w:numPr>
        <w:spacing w:after="240"/>
        <w:rPr>
          <w:rFonts w:cs="Arial"/>
        </w:rPr>
      </w:pPr>
      <w:r w:rsidRPr="00104A77">
        <w:rPr>
          <w:rFonts w:cs="Arial"/>
        </w:rPr>
        <w:t>Impulsar el diseño e implementación de estrategias para la gestión sostenible de la diversidad biológica, incluyendo el desarrollo de alianzas público-privadas, bajo criterios de conectividad y complementariedad.</w:t>
      </w:r>
    </w:p>
    <w:p w14:paraId="01BDC13D" w14:textId="77777777" w:rsidR="005A746C" w:rsidRPr="00104A77" w:rsidRDefault="005A746C" w:rsidP="00430EC5">
      <w:pPr>
        <w:pStyle w:val="Prrafodelista"/>
        <w:numPr>
          <w:ilvl w:val="0"/>
          <w:numId w:val="20"/>
        </w:numPr>
        <w:spacing w:after="240"/>
        <w:rPr>
          <w:rFonts w:cs="Arial"/>
        </w:rPr>
      </w:pPr>
      <w:r w:rsidRPr="00104A77">
        <w:rPr>
          <w:rFonts w:cs="Arial"/>
        </w:rPr>
        <w:t>Impulsar mecanismos para la evaluación y gestión de riesgos asociados a las actividades extractivas, productivas y de servicios sobre la diversidad biológica.</w:t>
      </w:r>
    </w:p>
    <w:p w14:paraId="67AAF66F" w14:textId="77777777" w:rsidR="005A746C" w:rsidRPr="00104A77" w:rsidRDefault="005A746C" w:rsidP="00430EC5">
      <w:pPr>
        <w:pStyle w:val="Prrafodelista"/>
        <w:numPr>
          <w:ilvl w:val="0"/>
          <w:numId w:val="20"/>
        </w:numPr>
        <w:spacing w:after="240"/>
        <w:rPr>
          <w:rFonts w:cs="Arial"/>
        </w:rPr>
      </w:pPr>
      <w:r w:rsidRPr="00104A77">
        <w:rPr>
          <w:rFonts w:cs="Arial"/>
        </w:rPr>
        <w:t xml:space="preserve">Promover las prácticas del </w:t>
      </w:r>
      <w:proofErr w:type="spellStart"/>
      <w:r w:rsidRPr="00104A77">
        <w:rPr>
          <w:rFonts w:cs="Arial"/>
        </w:rPr>
        <w:t>biocomercio</w:t>
      </w:r>
      <w:proofErr w:type="spellEnd"/>
      <w:r w:rsidRPr="00104A77">
        <w:rPr>
          <w:rFonts w:cs="Arial"/>
        </w:rPr>
        <w:t>, impulsando el establecimiento de cadenas productivas sostenibles.</w:t>
      </w:r>
    </w:p>
    <w:p w14:paraId="24BCDFCA" w14:textId="77777777" w:rsidR="005A746C" w:rsidRPr="00104A77" w:rsidRDefault="005A746C" w:rsidP="00430EC5">
      <w:pPr>
        <w:pStyle w:val="Prrafodelista"/>
        <w:numPr>
          <w:ilvl w:val="0"/>
          <w:numId w:val="20"/>
        </w:numPr>
        <w:spacing w:after="240"/>
        <w:rPr>
          <w:rFonts w:cs="Arial"/>
        </w:rPr>
      </w:pPr>
      <w:r w:rsidRPr="00104A77">
        <w:rPr>
          <w:rFonts w:cs="Arial"/>
        </w:rPr>
        <w:t>Impulsar la investigación de la diversidad biológica con el fin de monitorear su conservación y gestión sostenible.</w:t>
      </w:r>
    </w:p>
    <w:p w14:paraId="7CE1FC3B" w14:textId="77777777" w:rsidR="005A746C" w:rsidRPr="00965A60" w:rsidRDefault="005A746C" w:rsidP="00430EC5">
      <w:pPr>
        <w:rPr>
          <w:rFonts w:cs="Arial"/>
        </w:rPr>
      </w:pPr>
      <w:r w:rsidRPr="00965A60">
        <w:rPr>
          <w:rFonts w:cs="Arial"/>
        </w:rPr>
        <w:t>Adicionalmente, el artículo No. 28 de la Ley Orgánica para el Aprovechamiento Sostenible de los Recursos Naturales (Ley N° 26821 26 de junio de 1997) menciona que: “</w:t>
      </w:r>
      <w:r w:rsidRPr="00965A60">
        <w:rPr>
          <w:rFonts w:cs="Arial"/>
          <w:i/>
        </w:rPr>
        <w:t xml:space="preserve">Los recursos naturales deben aprovecharse en forma sostenible. El aprovechamiento sostenible implica el manejo racional de los recursos naturales teniendo en cuenta su capacidad de renovación, evitando su sobre-explotación y reponiéndolos cualitativa y cuantitativamente, de ser el caso. El </w:t>
      </w:r>
      <w:r w:rsidRPr="00965A60">
        <w:rPr>
          <w:rFonts w:cs="Arial"/>
          <w:i/>
        </w:rPr>
        <w:lastRenderedPageBreak/>
        <w:t>aprovechamiento sostenible de los recursos no renovables consiste en la explotación eficiente de los mismos, bajo el principio de sustitución de valores o beneficios reales, evitando o mitigando el impacto negativo sobre otros recursos del entorno y del ambiente.</w:t>
      </w:r>
      <w:r w:rsidRPr="00965A60">
        <w:rPr>
          <w:rFonts w:cs="Arial"/>
        </w:rPr>
        <w:t>”</w:t>
      </w:r>
    </w:p>
    <w:p w14:paraId="049657F3" w14:textId="77777777" w:rsidR="005A746C" w:rsidRPr="00965A60" w:rsidRDefault="005A746C" w:rsidP="00430EC5">
      <w:pPr>
        <w:rPr>
          <w:rFonts w:cs="Arial"/>
          <w:b/>
        </w:rPr>
      </w:pPr>
      <w:r w:rsidRPr="00965A60">
        <w:rPr>
          <w:rFonts w:cs="Arial"/>
        </w:rPr>
        <w:t>Además, el articulo No. 60 del Reglamento de la Ley sobre Conservación y Aprovechamiento Sostenible de la Diversidad Biológica  (Decreto Supremo No. 068-2001-PCM del 21 de junio de 2001) menciona que: “</w:t>
      </w:r>
      <w:r w:rsidRPr="00965A60">
        <w:rPr>
          <w:rFonts w:cs="Arial"/>
          <w:i/>
        </w:rPr>
        <w:t>Las autoridades sectoriales competentes, en coordinación con el Ministerio de Economía y Finanzas, determinarán el tipo de actividades específicas para las que serán aplicables los incentivos</w:t>
      </w:r>
      <w:r w:rsidRPr="00965A60">
        <w:rPr>
          <w:rFonts w:cs="Arial"/>
        </w:rPr>
        <w:t>”, entre las cuales destacan las actividades de recuperación de ecosistemas degradados, la reintroducción de especies nativas y las actividades orientadas a la conservación de especies y recursos genéticos.</w:t>
      </w:r>
    </w:p>
    <w:p w14:paraId="16B8CA24" w14:textId="77777777" w:rsidR="005A746C" w:rsidRPr="00965A60" w:rsidRDefault="005A746C" w:rsidP="00430EC5">
      <w:pPr>
        <w:rPr>
          <w:rFonts w:cs="Arial"/>
        </w:rPr>
      </w:pPr>
      <w:r w:rsidRPr="00965A60">
        <w:rPr>
          <w:rFonts w:cs="Arial"/>
        </w:rPr>
        <w:t xml:space="preserve">Por lo cual se concluye que el Estado Peruano está comprometido con la conservación de la biodiversidad y el uso racional, sostenible y participativo de los recursos naturales. Entre las herramientas requeridas para usar esto, se encuentran los incentivos para promover la sostenibilidad de los recursos naturales e incrementar la participación del sector privado y la sociedad civil. Los objetivos, metas y estrategias específicas para promover y lograr la conservación de un entorno equilibrado se desarrollan en documentos estratégicos como el Eje 6 del Plan Bicentenario (aprobado mediante el </w:t>
      </w:r>
      <w:r>
        <w:rPr>
          <w:rFonts w:cs="Arial"/>
        </w:rPr>
        <w:t>DS 054-2011 PCM</w:t>
      </w:r>
      <w:r w:rsidRPr="00965A60">
        <w:rPr>
          <w:rFonts w:cs="Arial"/>
        </w:rPr>
        <w:t xml:space="preserve">, el </w:t>
      </w:r>
      <w:r>
        <w:rPr>
          <w:rFonts w:cs="Arial"/>
        </w:rPr>
        <w:t>22</w:t>
      </w:r>
      <w:r w:rsidRPr="00965A60">
        <w:rPr>
          <w:rFonts w:cs="Arial"/>
        </w:rPr>
        <w:t xml:space="preserve"> de </w:t>
      </w:r>
      <w:r>
        <w:rPr>
          <w:rFonts w:cs="Arial"/>
        </w:rPr>
        <w:t>06</w:t>
      </w:r>
      <w:r w:rsidRPr="00965A60">
        <w:rPr>
          <w:rFonts w:cs="Arial"/>
        </w:rPr>
        <w:t xml:space="preserve"> del </w:t>
      </w:r>
      <w:r>
        <w:rPr>
          <w:rFonts w:cs="Arial"/>
        </w:rPr>
        <w:t>2011</w:t>
      </w:r>
      <w:r w:rsidRPr="00965A60">
        <w:rPr>
          <w:rFonts w:cs="Arial"/>
        </w:rPr>
        <w:t xml:space="preserve">) y la Estrategia y Plan de Acción Nacional de la Diversidad Biológica (aprobado mediante el </w:t>
      </w:r>
      <w:r>
        <w:rPr>
          <w:rFonts w:cs="Arial"/>
        </w:rPr>
        <w:t>DS 009-2014 MINAM</w:t>
      </w:r>
      <w:r w:rsidRPr="00965A60">
        <w:rPr>
          <w:rFonts w:cs="Arial"/>
        </w:rPr>
        <w:t xml:space="preserve">, el </w:t>
      </w:r>
      <w:r>
        <w:rPr>
          <w:rFonts w:cs="Arial"/>
        </w:rPr>
        <w:t>05</w:t>
      </w:r>
      <w:r w:rsidRPr="00965A60">
        <w:rPr>
          <w:rFonts w:cs="Arial"/>
        </w:rPr>
        <w:t xml:space="preserve"> de </w:t>
      </w:r>
      <w:r>
        <w:rPr>
          <w:rFonts w:cs="Arial"/>
        </w:rPr>
        <w:t>11</w:t>
      </w:r>
      <w:r w:rsidRPr="00965A60">
        <w:rPr>
          <w:rFonts w:cs="Arial"/>
        </w:rPr>
        <w:t xml:space="preserve"> del</w:t>
      </w:r>
      <w:r>
        <w:rPr>
          <w:rFonts w:cs="Arial"/>
        </w:rPr>
        <w:t>2014</w:t>
      </w:r>
      <w:r w:rsidRPr="00965A60">
        <w:rPr>
          <w:rFonts w:cs="Arial"/>
        </w:rPr>
        <w:t xml:space="preserve">). </w:t>
      </w:r>
    </w:p>
    <w:p w14:paraId="4A2F77C8" w14:textId="5D7B033C" w:rsidR="005A746C" w:rsidRPr="005A746C" w:rsidRDefault="005A746C" w:rsidP="00430EC5">
      <w:pPr>
        <w:pStyle w:val="Ttulo3"/>
        <w:rPr>
          <w:rFonts w:ascii="Arial" w:hAnsi="Arial" w:cs="Arial"/>
        </w:rPr>
      </w:pPr>
      <w:r w:rsidRPr="005A746C">
        <w:rPr>
          <w:rFonts w:ascii="Arial" w:hAnsi="Arial" w:cs="Arial"/>
        </w:rPr>
        <w:t xml:space="preserve">CEPLAN y Plan Bicentenario </w:t>
      </w:r>
    </w:p>
    <w:p w14:paraId="1A13100C" w14:textId="77777777" w:rsidR="005A746C" w:rsidRPr="00965A60" w:rsidRDefault="005A746C" w:rsidP="00430EC5">
      <w:pPr>
        <w:rPr>
          <w:rFonts w:cs="Arial"/>
        </w:rPr>
      </w:pPr>
      <w:r w:rsidRPr="00965A60">
        <w:rPr>
          <w:rFonts w:cs="Arial"/>
        </w:rPr>
        <w:t>El Sistema Nacional de Planeamiento Estratégico (SIPLAN) y su órgano rector y autónomo, el  Centro Nacional de Planeamiento Estratégico (CEPLAN), cuentan con competencias orientadas a fortalecer la gobernabilidad democrática mediante el desarrollo estratégico planificado. El objetivo de éstos es definir una visión concertada y compartida del futuro, coordinar los esfuerzos para lograrla y monitorear su avance. De esta manera, el SIPLAN recoge de manera participativa las visiones, los objetivos y planes estratégicos de diferentes sectores para modernizar el Estado y lograr el desarrollo armónico, sustentable, sostenido y descentralizado del país. Para lograrlo, debe articular e integrar de forma coherente los esfuerzos de los diferentes sectores públicos y  privados y promover la cooperación entre estos.</w:t>
      </w:r>
    </w:p>
    <w:p w14:paraId="685B4E69" w14:textId="77777777" w:rsidR="005A746C" w:rsidRPr="00965A60" w:rsidRDefault="005A746C" w:rsidP="00430EC5">
      <w:pPr>
        <w:rPr>
          <w:rFonts w:cs="Arial"/>
        </w:rPr>
      </w:pPr>
      <w:r w:rsidRPr="00965A60">
        <w:rPr>
          <w:rFonts w:cs="Arial"/>
        </w:rPr>
        <w:t>En el marco de la planificación estratégica nacional multisectorial, se genera el Plan Bicentenario. Este documento orientador recoge, analiza y revisa información nacional; discute, reflexiona y diagnostica la situación actual del país; y propone estrategias concertadas y articuladas, objetivos generales y específicos e indicadores para avanzar a las metas fijadas para el desarrollo del Perú teniendo como horizonte temporal el año 2021, bicentenario de nuestra independencia.</w:t>
      </w:r>
    </w:p>
    <w:p w14:paraId="11DBF8E0" w14:textId="77777777" w:rsidR="005A746C" w:rsidRPr="00965A60" w:rsidRDefault="005A746C" w:rsidP="00430EC5">
      <w:pPr>
        <w:rPr>
          <w:rFonts w:cs="Arial"/>
        </w:rPr>
      </w:pPr>
      <w:r w:rsidRPr="00965A60">
        <w:rPr>
          <w:rFonts w:cs="Arial"/>
        </w:rPr>
        <w:t xml:space="preserve">Este documento es un diagnóstico de todos los aspectos de la vida nacional teniendo como contexto las relaciones internacionales de un mundo globalizado y permitiendo visualizar el </w:t>
      </w:r>
      <w:r w:rsidRPr="00965A60">
        <w:rPr>
          <w:rFonts w:cs="Arial"/>
        </w:rPr>
        <w:lastRenderedPageBreak/>
        <w:t xml:space="preserve">progreso del país y detectar e impactar positivamente sobre las áreas que requieran un mayor esfuerzo mediante la planificación estratégica. </w:t>
      </w:r>
    </w:p>
    <w:p w14:paraId="3EE75DFA" w14:textId="77777777" w:rsidR="005A746C" w:rsidRPr="00965A60" w:rsidRDefault="005A746C" w:rsidP="00430EC5">
      <w:pPr>
        <w:rPr>
          <w:rFonts w:cs="Arial"/>
        </w:rPr>
      </w:pPr>
      <w:r w:rsidRPr="00965A60">
        <w:rPr>
          <w:rFonts w:cs="Arial"/>
        </w:rPr>
        <w:t xml:space="preserve">La aproximación metodológica del Plan Bicentenario es el planeamiento por resultados. Se realizaron 22 talleres en los cuales participaron los representantes de diferentes sectores públicos y gobiernos regionales como también la sociedad civil mediante organizaciones no gubernamentales, entidades cooperativas, instituciones académicas y entidades gremiales. En estos talleres se identificaron las tendencias del entorno, los problemas y oportunidades de la realidad nacional y se formularon propuestas de lineamientos estratégicos. Adicionalmente, este documento se sustenta en los pronósticos de las principales variables macroeconómicas entre 1896 y el 2009. </w:t>
      </w:r>
      <w:r w:rsidRPr="00104A77">
        <w:rPr>
          <w:rFonts w:cs="Arial"/>
        </w:rPr>
        <w:t>Como herramienta, este documento pretende ser un plan de orientación mas no de acción, proponiendo metas al fin del periodo (2021) para guiar las decisiones públicas y privadas</w:t>
      </w:r>
      <w:r w:rsidRPr="00965A60">
        <w:rPr>
          <w:rFonts w:cs="Arial"/>
        </w:rPr>
        <w:t>.</w:t>
      </w:r>
    </w:p>
    <w:p w14:paraId="4D0D06ED" w14:textId="77777777" w:rsidR="005A746C" w:rsidRPr="00965A60" w:rsidRDefault="005A746C" w:rsidP="00430EC5">
      <w:pPr>
        <w:rPr>
          <w:rFonts w:cs="Arial"/>
        </w:rPr>
      </w:pPr>
      <w:r w:rsidRPr="00965A60">
        <w:rPr>
          <w:rFonts w:cs="Arial"/>
        </w:rPr>
        <w:t xml:space="preserve">El Plan Bicentenario guiara y facilitara de forma abierta, flexible y concertada los programas de modernización y reforma del Estado a nivel nacional, regional y municipal, fortaleciéndolo y enriqueciendo la dinámica social y económica del país. </w:t>
      </w:r>
    </w:p>
    <w:p w14:paraId="07CF9A67" w14:textId="77777777" w:rsidR="005A746C" w:rsidRPr="00965A60" w:rsidRDefault="005A746C" w:rsidP="00430EC5">
      <w:pPr>
        <w:rPr>
          <w:rFonts w:cs="Arial"/>
        </w:rPr>
      </w:pPr>
      <w:r w:rsidRPr="00965A60">
        <w:rPr>
          <w:rFonts w:cs="Arial"/>
        </w:rPr>
        <w:t>Los planes y objetivos estratégicos, los indicadores y las metas del Plan Bicentenario se dividen en los siguientes Ejes Estratégicos: (I) Derechos fundamentales y dignidad de las personas; (II) Oportunidades y acceso a los servicios; (III) Estado y gobernabilidad; (IV) Economía, competitividad y empleo; (V) Desarrollo regional e infraestructura y (VI) Recursos naturales y ambiente. A continuación se analiza el Eje VI, debido a su vital importancia en relación a los objetivos de esta consultoría.</w:t>
      </w:r>
    </w:p>
    <w:p w14:paraId="42630EE6" w14:textId="77777777" w:rsidR="005A746C" w:rsidRPr="00965A60" w:rsidRDefault="005A746C" w:rsidP="00430EC5">
      <w:pPr>
        <w:rPr>
          <w:rFonts w:cs="Arial"/>
        </w:rPr>
      </w:pPr>
      <w:r w:rsidRPr="00965A60">
        <w:rPr>
          <w:rFonts w:cs="Arial"/>
        </w:rPr>
        <w:t>El Eje VI del Plan Bicentenario describe el papel estratégico de los recursos naturales para el país, ya sean en temas de crecimiento económico y el desarrollo de las actividades productivas, la satisfacción de las necesidades de la población y la seguridad alimentaria. Si bien los beneficios del patrimonio natural pueden explicar más del 20% del PBI nacional, existen beneficios indirectos y difíciles de cuantificar de los cuales tenemos un conocimiento limitado, tales como la regulación del clima o el ciclo del agua. Estos beneficios también están en riesgo debido a la sobreexplotación y el pobre uso racional y sostenible de los recursos naturales, sin contar el costo de la degradación ambiental. Un riesgo adicional es la vulnerabilidad de nuestro país frente a los efectos del cambio climático.</w:t>
      </w:r>
    </w:p>
    <w:p w14:paraId="6D3F7135" w14:textId="77777777" w:rsidR="005A746C" w:rsidRDefault="005A746C" w:rsidP="00430EC5">
      <w:pPr>
        <w:rPr>
          <w:rFonts w:cs="Arial"/>
        </w:rPr>
      </w:pPr>
      <w:r w:rsidRPr="00965A60">
        <w:rPr>
          <w:rFonts w:cs="Arial"/>
        </w:rPr>
        <w:t>El objetivo nacional del Eje Estratégico VI del plan bicentenario es: “</w:t>
      </w:r>
      <w:r w:rsidRPr="00965A60">
        <w:rPr>
          <w:rFonts w:cs="Arial"/>
          <w:i/>
        </w:rPr>
        <w:t xml:space="preserve">Conservación y aprovechamiento sostenible de los recursos naturales y la biodiversidad con un enfoque integrado y </w:t>
      </w:r>
      <w:proofErr w:type="spellStart"/>
      <w:r w:rsidRPr="00965A60">
        <w:rPr>
          <w:rFonts w:cs="Arial"/>
          <w:i/>
        </w:rPr>
        <w:t>ecosistémico</w:t>
      </w:r>
      <w:proofErr w:type="spellEnd"/>
      <w:r w:rsidRPr="00965A60">
        <w:rPr>
          <w:rFonts w:cs="Arial"/>
          <w:i/>
        </w:rPr>
        <w:t xml:space="preserve"> y un ambiente que permita una buena calidad de vida para las personas y la existencia de ecosistemas saludables, viables y funcionales en el largo plazo</w:t>
      </w:r>
      <w:r w:rsidRPr="00965A60">
        <w:rPr>
          <w:rFonts w:cs="Arial"/>
        </w:rPr>
        <w:t>”.</w:t>
      </w:r>
    </w:p>
    <w:p w14:paraId="35E6EE6C" w14:textId="77777777" w:rsidR="005A746C" w:rsidRDefault="005A746C" w:rsidP="00430EC5">
      <w:pPr>
        <w:rPr>
          <w:rFonts w:cs="Arial"/>
        </w:rPr>
      </w:pPr>
      <w:r w:rsidRPr="00965A60">
        <w:rPr>
          <w:rFonts w:cs="Arial"/>
        </w:rPr>
        <w:lastRenderedPageBreak/>
        <w:t>Para lograrlo cuenta con 17 lineamientos de política en recursos ambientales, 15 lineamientos en calidad ambiental y 5 prioridades</w:t>
      </w:r>
      <w:r>
        <w:rPr>
          <w:rFonts w:cs="Arial"/>
        </w:rPr>
        <w:t xml:space="preserve">, muchos de los cuales impactan directamente al SINANPE o a la RNSIIPG: </w:t>
      </w:r>
    </w:p>
    <w:p w14:paraId="77557BEC" w14:textId="77777777" w:rsidR="005A746C" w:rsidRPr="00965A60" w:rsidRDefault="005A746C" w:rsidP="00430EC5">
      <w:pPr>
        <w:rPr>
          <w:rFonts w:cs="Arial"/>
          <w:b/>
        </w:rPr>
      </w:pPr>
      <w:r w:rsidRPr="00965A60">
        <w:rPr>
          <w:rFonts w:cs="Arial"/>
          <w:b/>
        </w:rPr>
        <w:t xml:space="preserve">A. </w:t>
      </w:r>
      <w:r>
        <w:rPr>
          <w:rFonts w:cs="Arial"/>
          <w:b/>
        </w:rPr>
        <w:t xml:space="preserve">Lineamientos sobre </w:t>
      </w:r>
      <w:r w:rsidRPr="00965A60">
        <w:rPr>
          <w:rFonts w:cs="Arial"/>
          <w:b/>
        </w:rPr>
        <w:t>Recursos Naturales</w:t>
      </w:r>
      <w:r>
        <w:rPr>
          <w:rFonts w:cs="Arial"/>
          <w:b/>
        </w:rPr>
        <w:t xml:space="preserve"> (17)</w:t>
      </w:r>
      <w:r w:rsidRPr="00965A60">
        <w:rPr>
          <w:rFonts w:cs="Arial"/>
          <w:b/>
        </w:rPr>
        <w:t>:</w:t>
      </w:r>
    </w:p>
    <w:p w14:paraId="25801302" w14:textId="77777777" w:rsidR="005A746C" w:rsidRPr="00965A60" w:rsidRDefault="005A746C" w:rsidP="00430EC5">
      <w:pPr>
        <w:ind w:left="1416" w:hanging="708"/>
        <w:rPr>
          <w:rFonts w:cs="Arial"/>
        </w:rPr>
      </w:pPr>
      <w:r w:rsidRPr="00965A60">
        <w:rPr>
          <w:rFonts w:cs="Arial"/>
          <w:i/>
        </w:rPr>
        <w:t>2.</w:t>
      </w:r>
      <w:r w:rsidRPr="00965A60">
        <w:rPr>
          <w:rFonts w:cs="Arial"/>
          <w:i/>
        </w:rPr>
        <w:tab/>
        <w:t>Impulsar la gestión integrada de los recursos naturales, la gestión integrada de los recursos hídricos y el ordenamiento territorial</w:t>
      </w:r>
      <w:r w:rsidRPr="00965A60">
        <w:rPr>
          <w:rFonts w:cs="Arial"/>
        </w:rPr>
        <w:t>.</w:t>
      </w:r>
    </w:p>
    <w:p w14:paraId="3D65FA62" w14:textId="77777777" w:rsidR="005A746C" w:rsidRPr="00965A60" w:rsidRDefault="005A746C" w:rsidP="00430EC5">
      <w:pPr>
        <w:ind w:left="1416" w:hanging="708"/>
        <w:rPr>
          <w:rFonts w:cs="Arial"/>
        </w:rPr>
      </w:pPr>
      <w:r w:rsidRPr="00965A60">
        <w:rPr>
          <w:rFonts w:cs="Arial"/>
          <w:i/>
        </w:rPr>
        <w:t>3.</w:t>
      </w:r>
      <w:r w:rsidRPr="00965A60">
        <w:rPr>
          <w:rFonts w:cs="Arial"/>
          <w:i/>
        </w:rPr>
        <w:tab/>
        <w:t>Promover la conservación y el aprovechamiento sostenible del patrimonio natural del país con eficiencia, equidad y bienestar social, realizando acciones para proteger la biodiversidad, controlar la pérdida de bosques y ecosistemas, garantizar la sostenibilidad de la actividad pesquera, conservar el patrimonio genético nativo y revalorar los conocimientos tradicionales</w:t>
      </w:r>
      <w:r w:rsidRPr="00965A60">
        <w:rPr>
          <w:rFonts w:cs="Arial"/>
        </w:rPr>
        <w:t>.</w:t>
      </w:r>
    </w:p>
    <w:p w14:paraId="0C436675" w14:textId="77777777" w:rsidR="005A746C" w:rsidRPr="00965A60" w:rsidRDefault="005A746C" w:rsidP="00430EC5">
      <w:pPr>
        <w:ind w:left="1416" w:hanging="708"/>
        <w:rPr>
          <w:rFonts w:cs="Arial"/>
        </w:rPr>
      </w:pPr>
      <w:r w:rsidRPr="00965A60">
        <w:rPr>
          <w:rFonts w:cs="Arial"/>
          <w:i/>
        </w:rPr>
        <w:t>6.</w:t>
      </w:r>
      <w:r w:rsidRPr="00965A60">
        <w:rPr>
          <w:rFonts w:cs="Arial"/>
          <w:i/>
        </w:rPr>
        <w:tab/>
        <w:t>Fortalecer el Sistema de Áreas Naturales Protegidas por el Estado, propiciando su adecuada gestión y auto-sostenimiento</w:t>
      </w:r>
      <w:r w:rsidRPr="00965A60">
        <w:rPr>
          <w:rFonts w:cs="Arial"/>
        </w:rPr>
        <w:t>.</w:t>
      </w:r>
    </w:p>
    <w:p w14:paraId="10BE5CB7" w14:textId="77777777" w:rsidR="005A746C" w:rsidRPr="00965A60" w:rsidRDefault="005A746C" w:rsidP="00430EC5">
      <w:pPr>
        <w:ind w:left="1416" w:hanging="708"/>
        <w:rPr>
          <w:rFonts w:cs="Arial"/>
        </w:rPr>
      </w:pPr>
      <w:r w:rsidRPr="00965A60">
        <w:rPr>
          <w:rFonts w:cs="Arial"/>
          <w:i/>
        </w:rPr>
        <w:t>9.</w:t>
      </w:r>
      <w:r w:rsidRPr="00965A60">
        <w:rPr>
          <w:rFonts w:cs="Arial"/>
          <w:i/>
        </w:rPr>
        <w:tab/>
        <w:t>Fomentar la adopción de estrategias de mitigación y adaptación al cambio climático por los tres niveles de gobierno, basadas en estudios e investigaciones científicas con un enfoque preventivo</w:t>
      </w:r>
      <w:r w:rsidRPr="00965A60">
        <w:rPr>
          <w:rFonts w:cs="Arial"/>
        </w:rPr>
        <w:t>.</w:t>
      </w:r>
    </w:p>
    <w:p w14:paraId="71F79385" w14:textId="77777777" w:rsidR="005A746C" w:rsidRPr="00965A60" w:rsidRDefault="005A746C" w:rsidP="00430EC5">
      <w:pPr>
        <w:ind w:left="1416" w:hanging="708"/>
        <w:rPr>
          <w:rFonts w:cs="Arial"/>
        </w:rPr>
      </w:pPr>
      <w:r w:rsidRPr="00965A60">
        <w:rPr>
          <w:rFonts w:cs="Arial"/>
          <w:i/>
        </w:rPr>
        <w:t>10.</w:t>
      </w:r>
      <w:r w:rsidRPr="00965A60">
        <w:rPr>
          <w:rFonts w:cs="Arial"/>
          <w:i/>
        </w:rPr>
        <w:tab/>
        <w:t>Fomentar la reducción de vulnerabilidades y la gestión de riesgos frente a desastres en el marco del desarrollo sostenible, así como la adaptación para mitigar los efectos negativos y aprovechar las oportunidades que se generan debido a los impactos positivos del fenómeno recurrente El Niño</w:t>
      </w:r>
      <w:r w:rsidRPr="00965A60">
        <w:rPr>
          <w:rFonts w:cs="Arial"/>
        </w:rPr>
        <w:t>.</w:t>
      </w:r>
    </w:p>
    <w:p w14:paraId="41E35A9D" w14:textId="77777777" w:rsidR="005A746C" w:rsidRPr="00965A60" w:rsidRDefault="005A746C" w:rsidP="00430EC5">
      <w:pPr>
        <w:ind w:left="1416" w:hanging="708"/>
        <w:rPr>
          <w:rFonts w:cs="Arial"/>
        </w:rPr>
      </w:pPr>
      <w:r w:rsidRPr="00965A60">
        <w:rPr>
          <w:rFonts w:cs="Arial"/>
          <w:i/>
        </w:rPr>
        <w:t>14.</w:t>
      </w:r>
      <w:r w:rsidRPr="00965A60">
        <w:rPr>
          <w:rFonts w:cs="Arial"/>
          <w:i/>
        </w:rPr>
        <w:tab/>
        <w:t xml:space="preserve">Reconocer los aportes a la economía nacional de los servicios </w:t>
      </w:r>
      <w:proofErr w:type="spellStart"/>
      <w:r w:rsidRPr="00965A60">
        <w:rPr>
          <w:rFonts w:cs="Arial"/>
          <w:i/>
        </w:rPr>
        <w:t>ecosistémicos</w:t>
      </w:r>
      <w:proofErr w:type="spellEnd"/>
      <w:r w:rsidRPr="00965A60">
        <w:rPr>
          <w:rFonts w:cs="Arial"/>
          <w:i/>
        </w:rPr>
        <w:t xml:space="preserve"> y productos diferentes a la madera</w:t>
      </w:r>
      <w:r w:rsidRPr="00965A60">
        <w:rPr>
          <w:rFonts w:cs="Arial"/>
        </w:rPr>
        <w:t>.</w:t>
      </w:r>
    </w:p>
    <w:p w14:paraId="4A181845" w14:textId="77777777" w:rsidR="005A746C" w:rsidRPr="00965A60" w:rsidRDefault="005A746C" w:rsidP="00430EC5">
      <w:pPr>
        <w:rPr>
          <w:rFonts w:cs="Arial"/>
          <w:b/>
        </w:rPr>
      </w:pPr>
      <w:r w:rsidRPr="00965A60">
        <w:rPr>
          <w:rFonts w:cs="Arial"/>
          <w:b/>
        </w:rPr>
        <w:t xml:space="preserve">B. </w:t>
      </w:r>
      <w:r>
        <w:rPr>
          <w:rFonts w:cs="Arial"/>
          <w:b/>
        </w:rPr>
        <w:t xml:space="preserve">Lineamientos sobre </w:t>
      </w:r>
      <w:r w:rsidRPr="00965A60">
        <w:rPr>
          <w:rFonts w:cs="Arial"/>
          <w:b/>
        </w:rPr>
        <w:t>Calidad Ambiental</w:t>
      </w:r>
      <w:r>
        <w:rPr>
          <w:rFonts w:cs="Arial"/>
          <w:b/>
        </w:rPr>
        <w:t xml:space="preserve"> (15)</w:t>
      </w:r>
      <w:r w:rsidRPr="00965A60">
        <w:rPr>
          <w:rFonts w:cs="Arial"/>
          <w:b/>
        </w:rPr>
        <w:t>:</w:t>
      </w:r>
    </w:p>
    <w:p w14:paraId="1967E3BD" w14:textId="77777777" w:rsidR="005A746C" w:rsidRPr="00965A60" w:rsidRDefault="005A746C" w:rsidP="00430EC5">
      <w:pPr>
        <w:ind w:left="1416" w:hanging="708"/>
        <w:rPr>
          <w:rFonts w:cs="Arial"/>
        </w:rPr>
      </w:pPr>
      <w:r w:rsidRPr="00965A60">
        <w:rPr>
          <w:rFonts w:cs="Arial"/>
        </w:rPr>
        <w:t>6.</w:t>
      </w:r>
      <w:r w:rsidRPr="00965A60">
        <w:rPr>
          <w:rFonts w:cs="Arial"/>
        </w:rPr>
        <w:tab/>
      </w:r>
      <w:r w:rsidRPr="00965A60">
        <w:rPr>
          <w:rFonts w:cs="Arial"/>
          <w:i/>
        </w:rPr>
        <w:t>Promover la responsabilidad ambiental empresarial en las actividades productivas a través de la prevención, la internalización de costos y la compensación justa de los impactos ambientales y sociales de los megaproyectos</w:t>
      </w:r>
      <w:r w:rsidRPr="00965A60">
        <w:rPr>
          <w:rFonts w:cs="Arial"/>
        </w:rPr>
        <w:t>.</w:t>
      </w:r>
    </w:p>
    <w:p w14:paraId="419886E0" w14:textId="77777777" w:rsidR="005A746C" w:rsidRPr="00965A60" w:rsidRDefault="005A746C" w:rsidP="00430EC5">
      <w:pPr>
        <w:ind w:left="1416" w:hanging="708"/>
        <w:rPr>
          <w:rFonts w:cs="Arial"/>
        </w:rPr>
      </w:pPr>
      <w:r w:rsidRPr="00965A60">
        <w:rPr>
          <w:rFonts w:cs="Arial"/>
        </w:rPr>
        <w:t>9.</w:t>
      </w:r>
      <w:r w:rsidRPr="00965A60">
        <w:rPr>
          <w:rFonts w:cs="Arial"/>
        </w:rPr>
        <w:tab/>
      </w:r>
      <w:r w:rsidRPr="00965A60">
        <w:rPr>
          <w:rFonts w:cs="Arial"/>
          <w:i/>
        </w:rPr>
        <w:t>Promover el uso de instrumentos económicos para mejorar la calidad ambiental y la conservación de los recursos naturales</w:t>
      </w:r>
      <w:r w:rsidRPr="00965A60">
        <w:rPr>
          <w:rFonts w:cs="Arial"/>
        </w:rPr>
        <w:t>.</w:t>
      </w:r>
    </w:p>
    <w:p w14:paraId="137B2894" w14:textId="77777777" w:rsidR="005A746C" w:rsidRPr="00965A60" w:rsidRDefault="005A746C" w:rsidP="00430EC5">
      <w:pPr>
        <w:ind w:left="1416" w:hanging="708"/>
        <w:rPr>
          <w:rFonts w:cs="Arial"/>
        </w:rPr>
      </w:pPr>
      <w:r w:rsidRPr="00965A60">
        <w:rPr>
          <w:rFonts w:cs="Arial"/>
        </w:rPr>
        <w:t>10.</w:t>
      </w:r>
      <w:r w:rsidRPr="00965A60">
        <w:rPr>
          <w:rFonts w:cs="Arial"/>
        </w:rPr>
        <w:tab/>
      </w:r>
      <w:r w:rsidRPr="00965A60">
        <w:rPr>
          <w:rFonts w:cs="Arial"/>
          <w:i/>
        </w:rPr>
        <w:t>Fomentar la educación, la conciencia, la cultura ambiental y el acceso a la información ambiental</w:t>
      </w:r>
      <w:r w:rsidRPr="00965A60">
        <w:rPr>
          <w:rFonts w:cs="Arial"/>
        </w:rPr>
        <w:t>.</w:t>
      </w:r>
    </w:p>
    <w:p w14:paraId="76D06A23" w14:textId="77777777" w:rsidR="005A746C" w:rsidRPr="00965A60" w:rsidRDefault="005A746C" w:rsidP="00430EC5">
      <w:pPr>
        <w:ind w:left="1416" w:hanging="708"/>
        <w:rPr>
          <w:rFonts w:cs="Arial"/>
        </w:rPr>
      </w:pPr>
      <w:r w:rsidRPr="00965A60">
        <w:rPr>
          <w:rFonts w:cs="Arial"/>
        </w:rPr>
        <w:lastRenderedPageBreak/>
        <w:t>11.</w:t>
      </w:r>
      <w:r w:rsidRPr="00965A60">
        <w:rPr>
          <w:rFonts w:cs="Arial"/>
        </w:rPr>
        <w:tab/>
      </w:r>
      <w:r w:rsidRPr="00965A60">
        <w:rPr>
          <w:rFonts w:cs="Arial"/>
          <w:i/>
        </w:rPr>
        <w:t>Fomentar la participación ciudadana organizada en los procesos de toma de decisiones para el desarrollo sostenible de los diferentes niveles de gobierno</w:t>
      </w:r>
      <w:r w:rsidRPr="00965A60">
        <w:rPr>
          <w:rFonts w:cs="Arial"/>
        </w:rPr>
        <w:t>.</w:t>
      </w:r>
    </w:p>
    <w:p w14:paraId="3484BFA5" w14:textId="77777777" w:rsidR="005A746C" w:rsidRPr="00965A60" w:rsidRDefault="005A746C" w:rsidP="00430EC5">
      <w:pPr>
        <w:ind w:left="1416" w:hanging="708"/>
        <w:rPr>
          <w:rFonts w:cs="Arial"/>
        </w:rPr>
      </w:pPr>
      <w:r w:rsidRPr="00965A60">
        <w:rPr>
          <w:rFonts w:cs="Arial"/>
        </w:rPr>
        <w:t>13.</w:t>
      </w:r>
      <w:r w:rsidRPr="00965A60">
        <w:rPr>
          <w:rFonts w:cs="Arial"/>
        </w:rPr>
        <w:tab/>
      </w:r>
      <w:r w:rsidRPr="00965A60">
        <w:rPr>
          <w:rFonts w:cs="Arial"/>
          <w:i/>
        </w:rPr>
        <w:t>Fortalecer a las entidades públicas con competencias ambientales en los tres niveles de gobierno para el ejercicio efectivo y eficiente de sus funciones</w:t>
      </w:r>
      <w:r w:rsidRPr="00965A60">
        <w:rPr>
          <w:rFonts w:cs="Arial"/>
        </w:rPr>
        <w:t>.</w:t>
      </w:r>
    </w:p>
    <w:p w14:paraId="63B8EB3D" w14:textId="77777777" w:rsidR="005A746C" w:rsidRPr="00965A60" w:rsidRDefault="005A746C" w:rsidP="00430EC5">
      <w:pPr>
        <w:rPr>
          <w:rFonts w:cs="Arial"/>
          <w:b/>
        </w:rPr>
      </w:pPr>
      <w:r w:rsidRPr="00965A60">
        <w:rPr>
          <w:rFonts w:cs="Arial"/>
          <w:b/>
        </w:rPr>
        <w:t>C. Prioridades</w:t>
      </w:r>
      <w:r>
        <w:rPr>
          <w:rFonts w:cs="Arial"/>
          <w:b/>
        </w:rPr>
        <w:t xml:space="preserve"> (5)</w:t>
      </w:r>
      <w:r w:rsidRPr="00965A60">
        <w:rPr>
          <w:rFonts w:cs="Arial"/>
          <w:b/>
        </w:rPr>
        <w:t xml:space="preserve">: </w:t>
      </w:r>
    </w:p>
    <w:p w14:paraId="48257C3E" w14:textId="77777777" w:rsidR="005A746C" w:rsidRPr="00965A60" w:rsidRDefault="005A746C" w:rsidP="00430EC5">
      <w:pPr>
        <w:ind w:firstLine="708"/>
        <w:rPr>
          <w:rFonts w:cs="Arial"/>
        </w:rPr>
      </w:pPr>
      <w:r w:rsidRPr="00965A60">
        <w:rPr>
          <w:rFonts w:cs="Arial"/>
        </w:rPr>
        <w:t>1.</w:t>
      </w:r>
      <w:r w:rsidRPr="00965A60">
        <w:rPr>
          <w:rFonts w:cs="Arial"/>
        </w:rPr>
        <w:tab/>
      </w:r>
      <w:r w:rsidRPr="00965A60">
        <w:rPr>
          <w:rFonts w:cs="Arial"/>
          <w:i/>
        </w:rPr>
        <w:t>Aprovechamiento y manejo sostenible de los recursos naturales</w:t>
      </w:r>
      <w:r w:rsidRPr="00965A60">
        <w:rPr>
          <w:rFonts w:cs="Arial"/>
        </w:rPr>
        <w:t>.</w:t>
      </w:r>
    </w:p>
    <w:p w14:paraId="611C44BE" w14:textId="77777777" w:rsidR="005A746C" w:rsidRPr="00965A60" w:rsidRDefault="005A746C" w:rsidP="00430EC5">
      <w:pPr>
        <w:ind w:firstLine="708"/>
        <w:rPr>
          <w:rFonts w:cs="Arial"/>
        </w:rPr>
      </w:pPr>
      <w:r w:rsidRPr="00965A60">
        <w:rPr>
          <w:rFonts w:cs="Arial"/>
        </w:rPr>
        <w:t>4.</w:t>
      </w:r>
      <w:r w:rsidRPr="00965A60">
        <w:rPr>
          <w:rFonts w:cs="Arial"/>
        </w:rPr>
        <w:tab/>
      </w:r>
      <w:r w:rsidRPr="00965A60">
        <w:rPr>
          <w:rFonts w:cs="Arial"/>
          <w:i/>
        </w:rPr>
        <w:t>Adaptación del país al cambio climático</w:t>
      </w:r>
      <w:r w:rsidRPr="00965A60">
        <w:rPr>
          <w:rFonts w:cs="Arial"/>
        </w:rPr>
        <w:t>.</w:t>
      </w:r>
    </w:p>
    <w:p w14:paraId="14860E49" w14:textId="77777777" w:rsidR="005A746C" w:rsidRPr="00965A60" w:rsidRDefault="005A746C" w:rsidP="00430EC5">
      <w:pPr>
        <w:rPr>
          <w:rFonts w:cs="Arial"/>
        </w:rPr>
      </w:pPr>
      <w:r w:rsidRPr="00965A60">
        <w:rPr>
          <w:rFonts w:cs="Arial"/>
        </w:rPr>
        <w:t>Adicionalmente, el Eje VI del Plan Bicentenario cuenta con 5 objetivos específicos con indicadores, metas, acciones estratégicas y programas estratégicos. A continuación se presentaran los objetivos y los indicadores, metas y acciones estratégicas relevantes para esta consultoría:</w:t>
      </w:r>
    </w:p>
    <w:p w14:paraId="75DEB127" w14:textId="77777777" w:rsidR="005A746C" w:rsidRPr="00965A60" w:rsidRDefault="005A746C" w:rsidP="00430EC5">
      <w:pPr>
        <w:rPr>
          <w:rFonts w:cs="Arial"/>
        </w:rPr>
      </w:pPr>
      <w:r w:rsidRPr="00965A60">
        <w:rPr>
          <w:rFonts w:cs="Arial"/>
          <w:b/>
        </w:rPr>
        <w:t>Objetivo específico 1</w:t>
      </w:r>
      <w:r w:rsidRPr="00965A60">
        <w:rPr>
          <w:rFonts w:cs="Arial"/>
        </w:rPr>
        <w:t>:</w:t>
      </w:r>
      <w:r w:rsidRPr="00965A60">
        <w:rPr>
          <w:rFonts w:cs="Arial"/>
        </w:rPr>
        <w:tab/>
      </w:r>
      <w:r w:rsidRPr="00965A60">
        <w:rPr>
          <w:rFonts w:cs="Arial"/>
          <w:i/>
        </w:rPr>
        <w:t xml:space="preserve">Recursos naturales y </w:t>
      </w:r>
      <w:proofErr w:type="gramStart"/>
      <w:r w:rsidRPr="00965A60">
        <w:rPr>
          <w:rFonts w:cs="Arial"/>
          <w:i/>
        </w:rPr>
        <w:t>diversidad biológica conservados y aprovechados</w:t>
      </w:r>
      <w:proofErr w:type="gramEnd"/>
      <w:r w:rsidRPr="00965A60">
        <w:rPr>
          <w:rFonts w:cs="Arial"/>
          <w:i/>
        </w:rPr>
        <w:t xml:space="preserve"> de manera sostenible, con participación y beneficio de las poblaciones locales.</w:t>
      </w:r>
    </w:p>
    <w:p w14:paraId="7B3F0C91" w14:textId="77777777" w:rsidR="005A746C" w:rsidRPr="00965A60" w:rsidRDefault="005A746C" w:rsidP="00430EC5">
      <w:pPr>
        <w:rPr>
          <w:rFonts w:cs="Arial"/>
        </w:rPr>
      </w:pPr>
      <w:r w:rsidRPr="00965A60">
        <w:rPr>
          <w:rFonts w:cs="Arial"/>
        </w:rPr>
        <w:t>Indicador y meta # 3:</w:t>
      </w:r>
      <w:r w:rsidRPr="00965A60">
        <w:rPr>
          <w:rFonts w:cs="Arial"/>
        </w:rPr>
        <w:tab/>
        <w:t>“Numero de especies sujetas a medidas administrativas pesqueras de sostenibilidad”. Actualmente existen 8 especies bajo estas medidas (2008) y la meta al 2021 son 15.</w:t>
      </w:r>
    </w:p>
    <w:p w14:paraId="3CD209FE" w14:textId="77777777" w:rsidR="005A746C" w:rsidRPr="00965A60" w:rsidRDefault="005A746C" w:rsidP="00430EC5">
      <w:pPr>
        <w:rPr>
          <w:rFonts w:cs="Arial"/>
        </w:rPr>
      </w:pPr>
      <w:r w:rsidRPr="00965A60">
        <w:rPr>
          <w:rFonts w:cs="Arial"/>
        </w:rPr>
        <w:t>Indicador y meta # 4:</w:t>
      </w:r>
      <w:r w:rsidRPr="00965A60">
        <w:rPr>
          <w:rFonts w:cs="Arial"/>
        </w:rPr>
        <w:tab/>
        <w:t>“Porcentaje de áreas naturales protegidas con plan maestro en ejecución”. EN el 2009 únicamente el 56% contaba con planes maestros en ejecución, la meta al 2021 es tener el 80%.</w:t>
      </w:r>
    </w:p>
    <w:p w14:paraId="60D61DBA" w14:textId="77777777" w:rsidR="005A746C" w:rsidRPr="00104A77" w:rsidRDefault="005A746C" w:rsidP="00430EC5">
      <w:pPr>
        <w:rPr>
          <w:rFonts w:cs="Arial"/>
          <w:b/>
        </w:rPr>
      </w:pPr>
      <w:r w:rsidRPr="00104A77">
        <w:rPr>
          <w:rFonts w:cs="Arial"/>
          <w:b/>
        </w:rPr>
        <w:t>Acciones estratégicas:</w:t>
      </w:r>
    </w:p>
    <w:p w14:paraId="113F5B37" w14:textId="247F7C6F" w:rsidR="005A746C" w:rsidRPr="005A746C" w:rsidRDefault="005A746C" w:rsidP="00430EC5">
      <w:pPr>
        <w:pStyle w:val="Prrafodelista"/>
        <w:numPr>
          <w:ilvl w:val="0"/>
          <w:numId w:val="26"/>
        </w:numPr>
        <w:rPr>
          <w:rFonts w:cs="Arial"/>
        </w:rPr>
      </w:pPr>
      <w:r w:rsidRPr="005A746C">
        <w:rPr>
          <w:rFonts w:cs="Arial"/>
        </w:rPr>
        <w:t>“Fortalecer el Sistema Nacional de Áreas Naturales Protegidas y promover la aplicación de instrumentos que contribuyan a su sostenimiento financiero”.</w:t>
      </w:r>
    </w:p>
    <w:p w14:paraId="469AFD02" w14:textId="381218F1" w:rsidR="005A746C" w:rsidRPr="005A746C" w:rsidRDefault="005A746C" w:rsidP="00430EC5">
      <w:pPr>
        <w:pStyle w:val="Prrafodelista"/>
        <w:numPr>
          <w:ilvl w:val="0"/>
          <w:numId w:val="26"/>
        </w:numPr>
        <w:rPr>
          <w:rFonts w:cs="Arial"/>
        </w:rPr>
      </w:pPr>
      <w:r w:rsidRPr="005A746C">
        <w:rPr>
          <w:rFonts w:cs="Arial"/>
        </w:rPr>
        <w:t>“Supervisar y fiscalizar la gestión sostenible de los ecosistemas terrestres y acuáticos”.</w:t>
      </w:r>
    </w:p>
    <w:p w14:paraId="42E92020" w14:textId="23533B79" w:rsidR="005A746C" w:rsidRPr="005A746C" w:rsidRDefault="005A746C" w:rsidP="00430EC5">
      <w:pPr>
        <w:pStyle w:val="Prrafodelista"/>
        <w:numPr>
          <w:ilvl w:val="0"/>
          <w:numId w:val="26"/>
        </w:numPr>
        <w:rPr>
          <w:rFonts w:cs="Arial"/>
        </w:rPr>
      </w:pPr>
      <w:r w:rsidRPr="005A746C">
        <w:rPr>
          <w:rFonts w:cs="Arial"/>
        </w:rPr>
        <w:t xml:space="preserve"> “Supervisar y fiscalizar el manejo sostenible de los recursos pesqueros a través de instrumentos adaptados a cada pesquería y asegurando el cumplimiento de las cuotas de pesca”.</w:t>
      </w:r>
    </w:p>
    <w:p w14:paraId="048242C5" w14:textId="27DD8E1B" w:rsidR="005A746C" w:rsidRPr="005A746C" w:rsidRDefault="005A746C" w:rsidP="00430EC5">
      <w:pPr>
        <w:pStyle w:val="Prrafodelista"/>
        <w:numPr>
          <w:ilvl w:val="0"/>
          <w:numId w:val="26"/>
        </w:numPr>
        <w:rPr>
          <w:rFonts w:cs="Arial"/>
        </w:rPr>
      </w:pPr>
      <w:r w:rsidRPr="005A746C">
        <w:rPr>
          <w:rFonts w:cs="Arial"/>
        </w:rPr>
        <w:t>“Desarrollar instrumentos de gestión ambiental que generen incentivos económicos para aprovechar sosteniblemente los recursos naturales”.</w:t>
      </w:r>
    </w:p>
    <w:p w14:paraId="14483C90" w14:textId="241E216E" w:rsidR="005A746C" w:rsidRPr="005A746C" w:rsidRDefault="005A746C" w:rsidP="00430EC5">
      <w:pPr>
        <w:pStyle w:val="Prrafodelista"/>
        <w:numPr>
          <w:ilvl w:val="0"/>
          <w:numId w:val="26"/>
        </w:numPr>
        <w:rPr>
          <w:rFonts w:cs="Arial"/>
        </w:rPr>
      </w:pPr>
      <w:r w:rsidRPr="005A746C">
        <w:rPr>
          <w:rFonts w:cs="Arial"/>
        </w:rPr>
        <w:t>“Introducir el conocimiento y la valoración de los recursos naturales con relevancia suficiente en los programas de estudio a todo nivel, con énfasis en la educación básica”.</w:t>
      </w:r>
    </w:p>
    <w:p w14:paraId="32480E3F" w14:textId="77777777" w:rsidR="005A746C" w:rsidRPr="00104A77" w:rsidRDefault="005A746C" w:rsidP="00430EC5">
      <w:pPr>
        <w:rPr>
          <w:rFonts w:cs="Arial"/>
          <w:i/>
        </w:rPr>
      </w:pPr>
      <w:r w:rsidRPr="00965A60">
        <w:rPr>
          <w:rFonts w:cs="Arial"/>
          <w:b/>
        </w:rPr>
        <w:t>Objetivo específico 2</w:t>
      </w:r>
      <w:r w:rsidRPr="00104A77">
        <w:rPr>
          <w:rFonts w:cs="Arial"/>
          <w:b/>
        </w:rPr>
        <w:t>:</w:t>
      </w:r>
      <w:r w:rsidRPr="00965A60">
        <w:rPr>
          <w:rFonts w:cs="Arial"/>
          <w:b/>
        </w:rPr>
        <w:tab/>
      </w:r>
      <w:r w:rsidRPr="00965A60">
        <w:rPr>
          <w:rFonts w:cs="Arial"/>
          <w:i/>
        </w:rPr>
        <w:t>Calidad ambiental mejorada y gestionada con enfoque integral en el ámbito nacional.</w:t>
      </w:r>
    </w:p>
    <w:p w14:paraId="115747A1" w14:textId="77777777" w:rsidR="005A746C" w:rsidRPr="00965A60" w:rsidRDefault="005A746C" w:rsidP="00430EC5">
      <w:pPr>
        <w:rPr>
          <w:rFonts w:cs="Arial"/>
        </w:rPr>
      </w:pPr>
      <w:r w:rsidRPr="00965A60">
        <w:rPr>
          <w:rFonts w:cs="Arial"/>
        </w:rPr>
        <w:lastRenderedPageBreak/>
        <w:t>Indicador y meta # 9:</w:t>
      </w:r>
      <w:r w:rsidRPr="00965A60">
        <w:rPr>
          <w:rFonts w:cs="Arial"/>
        </w:rPr>
        <w:tab/>
        <w:t>“Porcentaje de recursos hídricos vigilados que cumplen estándares de calidad”. Actualmente 337 de 545 (61.8% al 2008), la meta es 93%.</w:t>
      </w:r>
    </w:p>
    <w:p w14:paraId="5C639C91" w14:textId="77777777" w:rsidR="005A746C" w:rsidRPr="00104A77" w:rsidRDefault="005A746C" w:rsidP="00430EC5">
      <w:pPr>
        <w:rPr>
          <w:rFonts w:cs="Arial"/>
          <w:b/>
        </w:rPr>
      </w:pPr>
      <w:r w:rsidRPr="00104A77">
        <w:rPr>
          <w:rFonts w:cs="Arial"/>
          <w:b/>
        </w:rPr>
        <w:t>Acción estratégica:</w:t>
      </w:r>
    </w:p>
    <w:p w14:paraId="747A3F8A" w14:textId="481CC5A4" w:rsidR="005A746C" w:rsidRPr="005A746C" w:rsidRDefault="005A746C" w:rsidP="00430EC5">
      <w:pPr>
        <w:pStyle w:val="Prrafodelista"/>
        <w:numPr>
          <w:ilvl w:val="0"/>
          <w:numId w:val="26"/>
        </w:numPr>
        <w:rPr>
          <w:rFonts w:cs="Arial"/>
        </w:rPr>
      </w:pPr>
      <w:r w:rsidRPr="005A746C">
        <w:rPr>
          <w:rFonts w:cs="Arial"/>
        </w:rPr>
        <w:t>“Introducir el conocimiento y la valoración de los recursos naturales con relevancia suficiente en los programas de estudio a todo nivel, con énfasis en la educación básica”.</w:t>
      </w:r>
    </w:p>
    <w:p w14:paraId="10E47B4F" w14:textId="77777777" w:rsidR="005A746C" w:rsidRPr="00104A77" w:rsidRDefault="005A746C" w:rsidP="00430EC5">
      <w:pPr>
        <w:rPr>
          <w:rFonts w:cs="Arial"/>
          <w:i/>
        </w:rPr>
      </w:pPr>
      <w:r w:rsidRPr="00965A60">
        <w:rPr>
          <w:rFonts w:cs="Arial"/>
          <w:b/>
        </w:rPr>
        <w:t>Objetivo específico 3</w:t>
      </w:r>
      <w:r w:rsidRPr="00104A77">
        <w:rPr>
          <w:rFonts w:cs="Arial"/>
          <w:b/>
        </w:rPr>
        <w:t>:</w:t>
      </w:r>
      <w:r w:rsidRPr="00965A60">
        <w:rPr>
          <w:rFonts w:cs="Arial"/>
          <w:b/>
        </w:rPr>
        <w:tab/>
      </w:r>
      <w:r w:rsidRPr="00965A60">
        <w:rPr>
          <w:rFonts w:cs="Arial"/>
          <w:i/>
        </w:rPr>
        <w:t>Manejo integrado y eficiente del agua y las cuencas a nivel nacional</w:t>
      </w:r>
    </w:p>
    <w:p w14:paraId="285B4803" w14:textId="77777777" w:rsidR="005A746C" w:rsidRPr="00104A77" w:rsidRDefault="005A746C" w:rsidP="00430EC5">
      <w:pPr>
        <w:rPr>
          <w:rFonts w:cs="Arial"/>
          <w:b/>
        </w:rPr>
      </w:pPr>
      <w:r w:rsidRPr="00104A77">
        <w:rPr>
          <w:rFonts w:cs="Arial"/>
          <w:b/>
        </w:rPr>
        <w:t>Acción estratégica:</w:t>
      </w:r>
    </w:p>
    <w:p w14:paraId="50E66B6A" w14:textId="6EBA8B6B" w:rsidR="005A746C" w:rsidRPr="005A746C" w:rsidRDefault="005A746C" w:rsidP="00430EC5">
      <w:pPr>
        <w:pStyle w:val="Prrafodelista"/>
        <w:numPr>
          <w:ilvl w:val="0"/>
          <w:numId w:val="26"/>
        </w:numPr>
        <w:rPr>
          <w:rFonts w:cs="Arial"/>
        </w:rPr>
      </w:pPr>
      <w:r w:rsidRPr="005A746C">
        <w:rPr>
          <w:rFonts w:cs="Arial"/>
        </w:rPr>
        <w:t>“Implementar la gestión integrada de cuencas con participación ciudadana, incluyendo las zonas marino-costeras, y fortalecer o implementar los consejos de cuenca e institucionalizar las juntas de usuarios”.</w:t>
      </w:r>
    </w:p>
    <w:p w14:paraId="32B3908F" w14:textId="77777777" w:rsidR="005A746C" w:rsidRPr="00104A77" w:rsidRDefault="005A746C" w:rsidP="00430EC5">
      <w:pPr>
        <w:rPr>
          <w:rFonts w:cs="Arial"/>
          <w:i/>
        </w:rPr>
      </w:pPr>
      <w:r w:rsidRPr="00965A60">
        <w:rPr>
          <w:rFonts w:cs="Arial"/>
          <w:b/>
        </w:rPr>
        <w:t>Objetivo específico 4</w:t>
      </w:r>
      <w:r w:rsidRPr="00104A77">
        <w:rPr>
          <w:rFonts w:cs="Arial"/>
          <w:b/>
        </w:rPr>
        <w:t>:</w:t>
      </w:r>
      <w:r w:rsidRPr="00965A60">
        <w:rPr>
          <w:rFonts w:cs="Arial"/>
          <w:b/>
        </w:rPr>
        <w:tab/>
      </w:r>
      <w:r w:rsidRPr="00965A60">
        <w:rPr>
          <w:rFonts w:cs="Arial"/>
          <w:i/>
        </w:rPr>
        <w:t>Población y sistemas productivos vulnerables adaptados al cambio climático.</w:t>
      </w:r>
    </w:p>
    <w:p w14:paraId="2DBD89A1" w14:textId="77777777" w:rsidR="005A746C" w:rsidRPr="00104A77" w:rsidRDefault="005A746C" w:rsidP="00430EC5">
      <w:pPr>
        <w:rPr>
          <w:rFonts w:cs="Arial"/>
          <w:b/>
        </w:rPr>
      </w:pPr>
      <w:r w:rsidRPr="00104A77">
        <w:rPr>
          <w:rFonts w:cs="Arial"/>
          <w:b/>
        </w:rPr>
        <w:t>Acción estratégica:</w:t>
      </w:r>
    </w:p>
    <w:p w14:paraId="5B55AA7F" w14:textId="11B01B79" w:rsidR="005A746C" w:rsidRPr="005A746C" w:rsidRDefault="005A746C" w:rsidP="00430EC5">
      <w:pPr>
        <w:pStyle w:val="Prrafodelista"/>
        <w:numPr>
          <w:ilvl w:val="0"/>
          <w:numId w:val="26"/>
        </w:numPr>
        <w:rPr>
          <w:rFonts w:cs="Arial"/>
        </w:rPr>
      </w:pPr>
      <w:r w:rsidRPr="005A746C">
        <w:rPr>
          <w:rFonts w:cs="Arial"/>
        </w:rPr>
        <w:t>“Crear mecanismos de investigación sobre la variabilidad y el cambio climático y actualizar y completar los mapas de vulnerabilidad a nivel nacional, con el fin de identificar las medidas de adaptación necesarias”.</w:t>
      </w:r>
    </w:p>
    <w:p w14:paraId="007AAF25" w14:textId="77777777" w:rsidR="005A746C" w:rsidRPr="00104A77" w:rsidRDefault="005A746C" w:rsidP="00430EC5">
      <w:pPr>
        <w:rPr>
          <w:rFonts w:cs="Arial"/>
          <w:i/>
        </w:rPr>
      </w:pPr>
      <w:r w:rsidRPr="00965A60">
        <w:rPr>
          <w:rFonts w:cs="Arial"/>
          <w:b/>
        </w:rPr>
        <w:t>Objetivo específico 5</w:t>
      </w:r>
      <w:r w:rsidRPr="00104A77">
        <w:rPr>
          <w:rFonts w:cs="Arial"/>
          <w:b/>
        </w:rPr>
        <w:t>:</w:t>
      </w:r>
      <w:r w:rsidRPr="00965A60">
        <w:rPr>
          <w:rFonts w:cs="Arial"/>
          <w:b/>
        </w:rPr>
        <w:tab/>
      </w:r>
      <w:r w:rsidRPr="00965A60">
        <w:rPr>
          <w:rFonts w:cs="Arial"/>
          <w:i/>
        </w:rPr>
        <w:t>Sistema Nacional de Gestión Ambiental implementado en los tres niveles de gobierno, con activa participación ciudadana.</w:t>
      </w:r>
    </w:p>
    <w:p w14:paraId="7D9DCC38" w14:textId="77777777" w:rsidR="005A746C" w:rsidRPr="00965A60" w:rsidRDefault="005A746C" w:rsidP="00430EC5">
      <w:pPr>
        <w:rPr>
          <w:rFonts w:cs="Arial"/>
          <w:b/>
        </w:rPr>
      </w:pPr>
      <w:r w:rsidRPr="00104A77">
        <w:rPr>
          <w:rFonts w:cs="Arial"/>
          <w:b/>
        </w:rPr>
        <w:t>Acci</w:t>
      </w:r>
      <w:r w:rsidRPr="00965A60">
        <w:rPr>
          <w:rFonts w:cs="Arial"/>
          <w:b/>
        </w:rPr>
        <w:t>o</w:t>
      </w:r>
      <w:r w:rsidRPr="00104A77">
        <w:rPr>
          <w:rFonts w:cs="Arial"/>
          <w:b/>
        </w:rPr>
        <w:t>n</w:t>
      </w:r>
      <w:r w:rsidRPr="00965A60">
        <w:rPr>
          <w:rFonts w:cs="Arial"/>
          <w:b/>
        </w:rPr>
        <w:t>es</w:t>
      </w:r>
      <w:r w:rsidRPr="00104A77">
        <w:rPr>
          <w:rFonts w:cs="Arial"/>
          <w:b/>
        </w:rPr>
        <w:t xml:space="preserve"> estratégica</w:t>
      </w:r>
      <w:r w:rsidRPr="00965A60">
        <w:rPr>
          <w:rFonts w:cs="Arial"/>
          <w:b/>
        </w:rPr>
        <w:t>s</w:t>
      </w:r>
      <w:r w:rsidRPr="00104A77">
        <w:rPr>
          <w:rFonts w:cs="Arial"/>
          <w:b/>
        </w:rPr>
        <w:t>:</w:t>
      </w:r>
    </w:p>
    <w:p w14:paraId="29B07FE0" w14:textId="374F3AF9" w:rsidR="005A746C" w:rsidRPr="005A746C" w:rsidRDefault="005A746C" w:rsidP="00430EC5">
      <w:pPr>
        <w:pStyle w:val="Prrafodelista"/>
        <w:numPr>
          <w:ilvl w:val="0"/>
          <w:numId w:val="26"/>
        </w:numPr>
        <w:rPr>
          <w:rFonts w:cs="Arial"/>
        </w:rPr>
      </w:pPr>
      <w:r w:rsidRPr="005A746C">
        <w:rPr>
          <w:rFonts w:cs="Arial"/>
        </w:rPr>
        <w:t>“Mejorar la institucionalidad para la investigación permanente sobre el patrimonio natural, el aprovechamiento sostenible de los recursos naturales y la reducción de la vulnerabilidad, y asegurar los recursos presupuestales adecuados”.</w:t>
      </w:r>
    </w:p>
    <w:p w14:paraId="7326793B" w14:textId="6D9A69F9" w:rsidR="005A746C" w:rsidRPr="005A746C" w:rsidRDefault="005A746C" w:rsidP="00430EC5">
      <w:pPr>
        <w:pStyle w:val="Prrafodelista"/>
        <w:numPr>
          <w:ilvl w:val="0"/>
          <w:numId w:val="26"/>
        </w:numPr>
        <w:rPr>
          <w:rFonts w:cs="Arial"/>
        </w:rPr>
      </w:pPr>
      <w:r w:rsidRPr="005A746C">
        <w:rPr>
          <w:rFonts w:cs="Arial"/>
        </w:rPr>
        <w:t>“Participar activamente en las organizaciones internacionales que apoyan la conservación de la biodiversidad y aprovechar los mecanismos de financiamiento y apoyo disponibles internacionalmente”.</w:t>
      </w:r>
    </w:p>
    <w:p w14:paraId="2605C9DE" w14:textId="77777777" w:rsidR="005A746C" w:rsidRPr="00965A60" w:rsidRDefault="005A746C" w:rsidP="00430EC5">
      <w:pPr>
        <w:rPr>
          <w:rFonts w:cs="Arial"/>
        </w:rPr>
      </w:pPr>
      <w:r>
        <w:rPr>
          <w:rFonts w:cs="Arial"/>
        </w:rPr>
        <w:t>Finalmente</w:t>
      </w:r>
      <w:r w:rsidRPr="00965A60">
        <w:rPr>
          <w:rFonts w:cs="Arial"/>
        </w:rPr>
        <w:t xml:space="preserve">, el Eje VI del Plan Bicentenario cuenta con </w:t>
      </w:r>
      <w:r>
        <w:rPr>
          <w:rFonts w:cs="Arial"/>
        </w:rPr>
        <w:t>1</w:t>
      </w:r>
      <w:r w:rsidRPr="00965A60">
        <w:rPr>
          <w:rFonts w:cs="Arial"/>
        </w:rPr>
        <w:t xml:space="preserve">5 </w:t>
      </w:r>
      <w:r>
        <w:rPr>
          <w:rFonts w:cs="Arial"/>
        </w:rPr>
        <w:t>programas estratégicos</w:t>
      </w:r>
      <w:r w:rsidRPr="00965A60">
        <w:rPr>
          <w:rFonts w:cs="Arial"/>
        </w:rPr>
        <w:t xml:space="preserve">. A continuación se presentaran </w:t>
      </w:r>
      <w:r>
        <w:rPr>
          <w:rFonts w:cs="Arial"/>
        </w:rPr>
        <w:t>aquellos</w:t>
      </w:r>
      <w:r w:rsidRPr="00965A60">
        <w:rPr>
          <w:rFonts w:cs="Arial"/>
        </w:rPr>
        <w:t xml:space="preserve"> relevantes para esta consultoría:</w:t>
      </w:r>
    </w:p>
    <w:p w14:paraId="471DFFAC" w14:textId="77777777" w:rsidR="005A746C" w:rsidRPr="00965A60" w:rsidRDefault="005A746C" w:rsidP="00430EC5">
      <w:pPr>
        <w:rPr>
          <w:rFonts w:cs="Arial"/>
        </w:rPr>
      </w:pPr>
      <w:r w:rsidRPr="00965A60">
        <w:rPr>
          <w:rFonts w:cs="Arial"/>
          <w:b/>
        </w:rPr>
        <w:t>Programa Estratégico #1:</w:t>
      </w:r>
      <w:r w:rsidRPr="00965A60">
        <w:rPr>
          <w:rFonts w:cs="Arial"/>
        </w:rPr>
        <w:tab/>
        <w:t xml:space="preserve">“Inventario y valoración de recursos naturales a nivel nacional”. </w:t>
      </w:r>
    </w:p>
    <w:p w14:paraId="64E641E6" w14:textId="77777777" w:rsidR="005A746C" w:rsidRPr="00965A60" w:rsidRDefault="005A746C" w:rsidP="00430EC5">
      <w:pPr>
        <w:rPr>
          <w:rFonts w:cs="Arial"/>
        </w:rPr>
      </w:pPr>
      <w:r w:rsidRPr="00965A60">
        <w:rPr>
          <w:rFonts w:cs="Arial"/>
        </w:rPr>
        <w:t xml:space="preserve">El objetivo de este programa es obtener información actualizada y una base de datos confiable acerca de la cantidad, ubicación y el valor económico de los beneficios actuales y potenciales de los principales recursos naturales, componentes de la diversidad biológica y servicios </w:t>
      </w:r>
      <w:r w:rsidRPr="00965A60">
        <w:rPr>
          <w:rFonts w:cs="Arial"/>
        </w:rPr>
        <w:lastRenderedPageBreak/>
        <w:t>ambientales con que cuenta el país, para planificar mejor su conservación y uso racional. Monto estimado: 2347 millones de soles.</w:t>
      </w:r>
    </w:p>
    <w:p w14:paraId="707AFB47" w14:textId="77777777" w:rsidR="005A746C" w:rsidRPr="00965A60" w:rsidRDefault="005A746C" w:rsidP="00430EC5">
      <w:pPr>
        <w:ind w:left="2832" w:hanging="2832"/>
        <w:rPr>
          <w:rFonts w:cs="Arial"/>
        </w:rPr>
      </w:pPr>
      <w:r w:rsidRPr="00965A60">
        <w:rPr>
          <w:rFonts w:cs="Arial"/>
          <w:b/>
        </w:rPr>
        <w:t>Programa Estratégico #4:</w:t>
      </w:r>
      <w:r w:rsidRPr="00965A60">
        <w:rPr>
          <w:rFonts w:cs="Arial"/>
          <w:b/>
        </w:rPr>
        <w:tab/>
        <w:t>“</w:t>
      </w:r>
      <w:r w:rsidRPr="00965A60">
        <w:rPr>
          <w:rFonts w:cs="Arial"/>
        </w:rPr>
        <w:t xml:space="preserve">Programa de conservación de diversidad biológica y su aprovechamiento sostenible”. </w:t>
      </w:r>
    </w:p>
    <w:p w14:paraId="3906D41F" w14:textId="77777777" w:rsidR="005A746C" w:rsidRPr="00965A60" w:rsidRDefault="005A746C" w:rsidP="00430EC5">
      <w:pPr>
        <w:rPr>
          <w:rFonts w:cs="Arial"/>
        </w:rPr>
      </w:pPr>
      <w:r w:rsidRPr="00965A60">
        <w:rPr>
          <w:rFonts w:cs="Arial"/>
        </w:rPr>
        <w:t>El programa incluye la conservación y uso sostenible de la diversidad biológica de flora y fauna en los diferentes niveles, ecosistemas, poblaciones, individuos y genes; así como la conservación de ecosistemas frágiles y humedales (procesamiento y análisis de información existente, generación de nueva información de campo, implementación y monitoreo de estrategias regionales de diversidad biológica). También comprende el manejo de especies y ecosistemas amenazados, así como la gestión de zonas con alta diversidad biológica y las zonas marino-costeras. Asimismo, el programa incluye la implementación y el manejo del sistema de información sobre diversidad biológica. Monto estimado: 5000 millones de soles.</w:t>
      </w:r>
    </w:p>
    <w:p w14:paraId="5604705E" w14:textId="77777777" w:rsidR="005A746C" w:rsidRPr="00965A60" w:rsidRDefault="005A746C" w:rsidP="00430EC5">
      <w:pPr>
        <w:rPr>
          <w:rFonts w:cs="Arial"/>
        </w:rPr>
      </w:pPr>
      <w:r w:rsidRPr="00965A60">
        <w:rPr>
          <w:rFonts w:cs="Arial"/>
          <w:b/>
        </w:rPr>
        <w:t>Programa Estratégico #5:</w:t>
      </w:r>
      <w:r w:rsidRPr="00965A60">
        <w:rPr>
          <w:rFonts w:cs="Arial"/>
        </w:rPr>
        <w:tab/>
        <w:t>“Programa de manejo integrado de las zonas marino-costeras”.</w:t>
      </w:r>
    </w:p>
    <w:p w14:paraId="0357AE74" w14:textId="77777777" w:rsidR="005A746C" w:rsidRDefault="005A746C" w:rsidP="00430EC5">
      <w:r w:rsidRPr="00965A60">
        <w:rPr>
          <w:rFonts w:cs="Arial"/>
        </w:rPr>
        <w:t>Mayor articulación en las acciones de los tres niveles de gobierno y de los sectores nacionales en las zonas marino-costeras. Sostenibilidad de las actividades económicas. Fomento de la seguridad alimentaria. Ordenamiento y planificación de las zonas marino-costeras. Resolución de conflictos. Conservación y uso sostenible de los recursos naturales marino-costeros. Monto estimado: 42 millones de soles.</w:t>
      </w:r>
    </w:p>
    <w:p w14:paraId="55CC459F" w14:textId="77777777" w:rsidR="005A746C" w:rsidRPr="00965A60" w:rsidRDefault="005A746C" w:rsidP="00430EC5">
      <w:pPr>
        <w:rPr>
          <w:rFonts w:cs="Arial"/>
        </w:rPr>
      </w:pPr>
    </w:p>
    <w:p w14:paraId="1897C86B" w14:textId="3C369487" w:rsidR="005A746C" w:rsidRPr="005A746C" w:rsidRDefault="005A746C" w:rsidP="00430EC5">
      <w:pPr>
        <w:pStyle w:val="Ttulo3"/>
        <w:rPr>
          <w:rFonts w:ascii="Arial" w:hAnsi="Arial" w:cs="Arial"/>
        </w:rPr>
      </w:pPr>
      <w:r w:rsidRPr="005A746C">
        <w:rPr>
          <w:rFonts w:ascii="Arial" w:hAnsi="Arial" w:cs="Arial"/>
        </w:rPr>
        <w:t>Estrategia Nacional de Diversidad Biológica al 2021 y su Plan de Acción para el periodo 2014-2018</w:t>
      </w:r>
    </w:p>
    <w:p w14:paraId="11F07AAE" w14:textId="77777777" w:rsidR="005A746C" w:rsidRPr="00965A60" w:rsidRDefault="005A746C" w:rsidP="00430EC5">
      <w:pPr>
        <w:rPr>
          <w:rFonts w:cs="Arial"/>
        </w:rPr>
      </w:pPr>
      <w:r w:rsidRPr="00965A60">
        <w:rPr>
          <w:rFonts w:cs="Arial"/>
        </w:rPr>
        <w:t>Para el Perú, la biodiversidad representa parte importante del capital nacional, siendo este ampliamente utilizado a través de nuestra historia, permitiendo diversas manifestaciones culturales y participando activamente en el desarrollo del país. Por este motivo la constitución política del Perú en su Artículo No. 68 dispone la obligación del estado de promover su conservación.</w:t>
      </w:r>
    </w:p>
    <w:p w14:paraId="519F1577" w14:textId="77777777" w:rsidR="005A746C" w:rsidRPr="00965A60" w:rsidRDefault="005A746C" w:rsidP="00430EC5">
      <w:pPr>
        <w:rPr>
          <w:rFonts w:cs="Arial"/>
        </w:rPr>
      </w:pPr>
      <w:r w:rsidRPr="00965A60">
        <w:rPr>
          <w:rFonts w:cs="Arial"/>
        </w:rPr>
        <w:t>Adicionalmente, el Convenio sobre la Diversidad Biológica (CDB) es un tratado internacional jurídicamente vinculante adoptado y firmado por el Perú, que fomenta y promueve medidas para  la conservación y el uso sostenible y equitativo de los componentes de la diversidad biológica y los recursos genéticos. Este convenio reconoce la soberanía y responsabilidad de los Estados sobre sus propios recursos biológicos.</w:t>
      </w:r>
    </w:p>
    <w:p w14:paraId="5F074F2B" w14:textId="77777777" w:rsidR="005A746C" w:rsidRPr="00965A60" w:rsidRDefault="005A746C" w:rsidP="00430EC5">
      <w:pPr>
        <w:rPr>
          <w:rFonts w:cs="Arial"/>
        </w:rPr>
      </w:pPr>
      <w:r w:rsidRPr="00965A60">
        <w:rPr>
          <w:rFonts w:cs="Arial"/>
        </w:rPr>
        <w:t>Asimismo, la aprobación de la Política Nacional del Ambiente y el Plan Bicentenario reconocen la diversidad biológica como un eje de política y objetivo nacional para impulsar el desarrollo de actividades económicas sostenibles y de alto valor agregado.</w:t>
      </w:r>
    </w:p>
    <w:p w14:paraId="367515C4" w14:textId="77777777" w:rsidR="005A746C" w:rsidRPr="00965A60" w:rsidRDefault="005A746C" w:rsidP="00430EC5">
      <w:pPr>
        <w:rPr>
          <w:rFonts w:cs="Arial"/>
        </w:rPr>
      </w:pPr>
      <w:r w:rsidRPr="00965A60">
        <w:rPr>
          <w:rFonts w:cs="Arial"/>
        </w:rPr>
        <w:lastRenderedPageBreak/>
        <w:t>En el marco de estos convenios, el Ministerio del Ambiente (MINAM) en coordinación con la Comisión Nacional de Diversidad Biológica presentan La Estrategia Nacional de Diversidad Biológica al 2021 y su Plan de Acción 2014-2018 (EPANDB), el cual es el principal instrumento para la gestión de la biodiversidad en el Perú.</w:t>
      </w:r>
    </w:p>
    <w:p w14:paraId="44D0BE52" w14:textId="77777777" w:rsidR="005A746C" w:rsidRPr="00965A60" w:rsidRDefault="005A746C" w:rsidP="00430EC5">
      <w:pPr>
        <w:rPr>
          <w:rFonts w:cs="Arial"/>
        </w:rPr>
      </w:pPr>
      <w:r w:rsidRPr="00965A60">
        <w:rPr>
          <w:rFonts w:cs="Arial"/>
        </w:rPr>
        <w:t xml:space="preserve">Este documento expone la coyuntura actual de la diversidad biológica y de los recursos naturales; el capital natural nacional, sus usos, problemática, oportunidades y acciones realizadas para su conservación y gestión sostenible. Asimismo, enfatiza el amplio potencial de la diversidad biológica tiene para beneficiar y contribuir al desarrollo de las poblaciones rurales menos favorecidas mediante el aprovechamiento planificado, sostenible y responsable de los recursos naturales. </w:t>
      </w:r>
      <w:r w:rsidRPr="00104A77">
        <w:rPr>
          <w:rFonts w:cs="Arial"/>
        </w:rPr>
        <w:t>A diferencia del plan bicentenario, el EPANDB tiene acciones y metas concretas con un plan de acción a mediano plazo (al 2018).</w:t>
      </w:r>
    </w:p>
    <w:p w14:paraId="17221985" w14:textId="77777777" w:rsidR="005A746C" w:rsidRPr="00965A60" w:rsidRDefault="005A746C" w:rsidP="00430EC5">
      <w:pPr>
        <w:rPr>
          <w:rFonts w:cs="Arial"/>
        </w:rPr>
      </w:pPr>
      <w:r w:rsidRPr="00965A60">
        <w:rPr>
          <w:rFonts w:cs="Arial"/>
        </w:rPr>
        <w:t>Adicionalmente, este documento resalta la riqueza hidrobiológica del mar peruano: Al contar con 1070 especies de peces muchos de ellos de amplia disponibilidad y de gran valor económico, los recursos hidrobiológicos son muy valiosos para el futuro del país. La actividad pesquera iniciada en los años 60 sigue siendo una de las actividades económicas más rentables del país. Si bien existen instrumentos para regularla y evitar la sobreexplotación, todavía persisten problemas para el control y manejo eficaz de esta actividad. Actualmente, existen varias estrategias para proteger los recursos y diversidad biológica marina. Una de estas estrategias son las áreas naturales protegidas las cuales protegen 401 mil hectáreas de ecosistemas marinos, de los cuales 140,833 hectáreas pertenecen a la RNSIIPG.</w:t>
      </w:r>
    </w:p>
    <w:p w14:paraId="1239D2F8" w14:textId="77777777" w:rsidR="005A746C" w:rsidRDefault="005A746C" w:rsidP="00430EC5">
      <w:pPr>
        <w:rPr>
          <w:rFonts w:cs="Arial"/>
        </w:rPr>
      </w:pPr>
      <w:r w:rsidRPr="00965A60">
        <w:rPr>
          <w:rFonts w:cs="Arial"/>
        </w:rPr>
        <w:t>La visión de este documento es: “</w:t>
      </w:r>
      <w:r w:rsidRPr="00965A60">
        <w:rPr>
          <w:rFonts w:cs="Arial"/>
          <w:i/>
        </w:rPr>
        <w:t>Al 2021 el Perú conserva y usa racionalmente su mega-biodiversidad revalorando los conocimientos tradicionales asociados para la satisfacción de las necesidades básicas y de bienestar de las actuales y futuras generaciones en el marco de un desarrollo sostenible, inclusivo y competitivo</w:t>
      </w:r>
      <w:r w:rsidRPr="00965A60">
        <w:rPr>
          <w:rFonts w:cs="Arial"/>
        </w:rPr>
        <w:t>”.</w:t>
      </w:r>
    </w:p>
    <w:p w14:paraId="4F5F2ACA" w14:textId="77777777" w:rsidR="005A746C" w:rsidRDefault="005A746C" w:rsidP="00430EC5">
      <w:pPr>
        <w:rPr>
          <w:rFonts w:cs="Arial"/>
        </w:rPr>
      </w:pPr>
      <w:r>
        <w:rPr>
          <w:rFonts w:cs="Arial"/>
        </w:rPr>
        <w:t xml:space="preserve">La EPANDB </w:t>
      </w:r>
      <w:r w:rsidRPr="00965A60">
        <w:rPr>
          <w:rFonts w:cs="Arial"/>
        </w:rPr>
        <w:t xml:space="preserve">traza 6 objetivos estratégicos nacionales, 13 metas y 147 acciones de enfoque </w:t>
      </w:r>
      <w:proofErr w:type="spellStart"/>
      <w:r w:rsidRPr="00965A60">
        <w:rPr>
          <w:rFonts w:cs="Arial"/>
        </w:rPr>
        <w:t>ecosistémico</w:t>
      </w:r>
      <w:proofErr w:type="spellEnd"/>
      <w:r w:rsidRPr="00965A60">
        <w:rPr>
          <w:rFonts w:cs="Arial"/>
        </w:rPr>
        <w:t>, participativo, multisectorial y  equitativo. A continuación se presentaran los objetivos estratégicos nacionales y las metas y acciones estratégicas important</w:t>
      </w:r>
      <w:r>
        <w:rPr>
          <w:rFonts w:cs="Arial"/>
        </w:rPr>
        <w:t>es para la presente consultoría:</w:t>
      </w:r>
    </w:p>
    <w:p w14:paraId="10F97827" w14:textId="77777777" w:rsidR="005A746C" w:rsidRPr="00965A60" w:rsidRDefault="005A746C" w:rsidP="00430EC5">
      <w:pPr>
        <w:rPr>
          <w:rFonts w:cs="Arial"/>
        </w:rPr>
      </w:pPr>
      <w:r>
        <w:rPr>
          <w:rFonts w:cs="Arial"/>
        </w:rPr>
        <w:t>* Los números de la lista corresponden a los números listados en el documento</w:t>
      </w:r>
    </w:p>
    <w:p w14:paraId="4D8331CE" w14:textId="77777777" w:rsidR="005A746C" w:rsidRPr="00965A60" w:rsidRDefault="005A746C" w:rsidP="00430EC5">
      <w:pPr>
        <w:rPr>
          <w:rFonts w:cs="Arial"/>
        </w:rPr>
      </w:pPr>
      <w:r w:rsidRPr="00965A60">
        <w:rPr>
          <w:rFonts w:cs="Arial"/>
          <w:b/>
        </w:rPr>
        <w:t>Objetivo Estratégico No. 1</w:t>
      </w:r>
      <w:r w:rsidRPr="00965A60">
        <w:rPr>
          <w:rFonts w:cs="Arial"/>
        </w:rPr>
        <w:t>:</w:t>
      </w:r>
      <w:r w:rsidRPr="00965A60">
        <w:rPr>
          <w:rFonts w:cs="Arial"/>
        </w:rPr>
        <w:tab/>
      </w:r>
      <w:r w:rsidRPr="00965A60">
        <w:rPr>
          <w:rFonts w:cs="Arial"/>
          <w:i/>
        </w:rPr>
        <w:t xml:space="preserve">Mejorar el estado de la biodiversidad y mantener la integridad de los servicios </w:t>
      </w:r>
      <w:proofErr w:type="spellStart"/>
      <w:r w:rsidRPr="00965A60">
        <w:rPr>
          <w:rFonts w:cs="Arial"/>
          <w:i/>
        </w:rPr>
        <w:t>ecosistémicos</w:t>
      </w:r>
      <w:proofErr w:type="spellEnd"/>
      <w:r w:rsidRPr="00965A60">
        <w:rPr>
          <w:rFonts w:cs="Arial"/>
          <w:i/>
        </w:rPr>
        <w:t xml:space="preserve"> que brinda</w:t>
      </w:r>
    </w:p>
    <w:p w14:paraId="3D1A8A2C" w14:textId="77777777" w:rsidR="005A746C" w:rsidRPr="00965A60" w:rsidRDefault="005A746C" w:rsidP="00430EC5">
      <w:pPr>
        <w:rPr>
          <w:rFonts w:cs="Arial"/>
        </w:rPr>
      </w:pPr>
      <w:r w:rsidRPr="00965A60">
        <w:rPr>
          <w:rFonts w:cs="Arial"/>
        </w:rPr>
        <w:t>Meta No. 1.</w:t>
      </w:r>
      <w:r w:rsidRPr="00965A60">
        <w:rPr>
          <w:rFonts w:cs="Arial"/>
        </w:rPr>
        <w:tab/>
        <w:t xml:space="preserve">Para el 2021 se consolida la gestión sostenible y efectiva de la biodiversidad en al menos el 17% del ámbito terrestre y el 10% del ámbito marino bajo distintas modalidades de conservación y manejo </w:t>
      </w:r>
      <w:r w:rsidRPr="00104A77">
        <w:rPr>
          <w:rFonts w:cs="Arial"/>
          <w:i/>
        </w:rPr>
        <w:t>in situ</w:t>
      </w:r>
      <w:r w:rsidRPr="00965A60">
        <w:rPr>
          <w:rFonts w:cs="Arial"/>
        </w:rPr>
        <w:t>.</w:t>
      </w:r>
    </w:p>
    <w:p w14:paraId="000B816E" w14:textId="77777777" w:rsidR="005A746C" w:rsidRDefault="005A746C" w:rsidP="00430EC5">
      <w:pPr>
        <w:rPr>
          <w:rFonts w:cs="Arial"/>
        </w:rPr>
      </w:pPr>
    </w:p>
    <w:p w14:paraId="3E3387C3" w14:textId="77777777" w:rsidR="005A746C" w:rsidRPr="00965A60" w:rsidRDefault="005A746C" w:rsidP="00430EC5">
      <w:pPr>
        <w:rPr>
          <w:rFonts w:cs="Arial"/>
        </w:rPr>
      </w:pPr>
      <w:r w:rsidRPr="00965A60">
        <w:rPr>
          <w:rFonts w:cs="Arial"/>
        </w:rPr>
        <w:lastRenderedPageBreak/>
        <w:t>Actividades para el periodo 2014-2018:</w:t>
      </w:r>
    </w:p>
    <w:p w14:paraId="59EC0C25" w14:textId="77777777" w:rsidR="005A746C" w:rsidRPr="00965A60" w:rsidRDefault="005A746C" w:rsidP="00430EC5">
      <w:pPr>
        <w:rPr>
          <w:rFonts w:cs="Arial"/>
        </w:rPr>
      </w:pPr>
      <w:r w:rsidRPr="00965A60">
        <w:rPr>
          <w:rFonts w:cs="Arial"/>
        </w:rPr>
        <w:t>3.</w:t>
      </w:r>
      <w:r w:rsidRPr="00965A60">
        <w:rPr>
          <w:rFonts w:cs="Arial"/>
        </w:rPr>
        <w:tab/>
        <w:t>A finales del primer semestre del 2015 se cuenta con incentivos adecuados, y coordinados intersectorialmente y entre niveles de gobierno para involucrar al sector privado en iniciativas de conservación de la diversidad biológica.</w:t>
      </w:r>
    </w:p>
    <w:p w14:paraId="4F9ACC25" w14:textId="77777777" w:rsidR="005A746C" w:rsidRPr="00965A60" w:rsidRDefault="005A746C" w:rsidP="00430EC5">
      <w:pPr>
        <w:rPr>
          <w:rFonts w:cs="Arial"/>
        </w:rPr>
      </w:pPr>
      <w:r w:rsidRPr="00965A60">
        <w:rPr>
          <w:rFonts w:cs="Arial"/>
        </w:rPr>
        <w:t>4.</w:t>
      </w:r>
      <w:r w:rsidRPr="00965A60">
        <w:rPr>
          <w:rFonts w:cs="Arial"/>
        </w:rPr>
        <w:tab/>
        <w:t>A inicios del segundo semestre del 2015 veinte gobiernos regionales, el SERNANP y otras entidades competentes, reportan al MINAM de manera anual el estado de conservación de las ANP y otras modalidades de conservación in situ.</w:t>
      </w:r>
    </w:p>
    <w:p w14:paraId="00968614" w14:textId="77777777" w:rsidR="005A746C" w:rsidRPr="00965A60" w:rsidRDefault="005A746C" w:rsidP="00430EC5">
      <w:pPr>
        <w:rPr>
          <w:rFonts w:cs="Arial"/>
        </w:rPr>
      </w:pPr>
      <w:r w:rsidRPr="00965A60">
        <w:rPr>
          <w:rFonts w:cs="Arial"/>
        </w:rPr>
        <w:t>7.</w:t>
      </w:r>
      <w:r w:rsidRPr="00965A60">
        <w:rPr>
          <w:rFonts w:cs="Arial"/>
        </w:rPr>
        <w:tab/>
        <w:t>A finales del segundo semestre del 2015 se cuenta con al menos diez iniciativas del sector privado que contribuyen a la conservación in situ de la diversidad biológica.</w:t>
      </w:r>
    </w:p>
    <w:p w14:paraId="29A2708E" w14:textId="77777777" w:rsidR="005A746C" w:rsidRPr="00965A60" w:rsidRDefault="005A746C" w:rsidP="00430EC5">
      <w:pPr>
        <w:rPr>
          <w:rFonts w:cs="Arial"/>
        </w:rPr>
      </w:pPr>
      <w:r w:rsidRPr="00965A60">
        <w:rPr>
          <w:rFonts w:cs="Arial"/>
        </w:rPr>
        <w:t>12.</w:t>
      </w:r>
      <w:r w:rsidRPr="00965A60">
        <w:rPr>
          <w:rFonts w:cs="Arial"/>
        </w:rPr>
        <w:tab/>
        <w:t>A inicios del segundo semestre del 2016 se han implementado al menos diez programas de fortalecimiento a usuarios organizados para el manejo integral sostenible de los ecosistemas, y recursos de flora y de fauna silvestre, a nivel nacional, regional y local, con participación activa de los pueblos indígenas y poblaciones locales en general.</w:t>
      </w:r>
    </w:p>
    <w:p w14:paraId="57C4AF68" w14:textId="77777777" w:rsidR="005A746C" w:rsidRPr="00965A60" w:rsidRDefault="005A746C" w:rsidP="00430EC5">
      <w:pPr>
        <w:rPr>
          <w:rFonts w:cs="Arial"/>
        </w:rPr>
      </w:pPr>
      <w:r w:rsidRPr="00965A60">
        <w:rPr>
          <w:rFonts w:cs="Arial"/>
        </w:rPr>
        <w:t>14.</w:t>
      </w:r>
      <w:r w:rsidRPr="00965A60">
        <w:rPr>
          <w:rFonts w:cs="Arial"/>
        </w:rPr>
        <w:tab/>
        <w:t>A finales del segundo semestre del 2016 se han incorporado en la gestión de los sistemas de conservación de la diversidad biológica programas y proyectos productivos con base en la biodiversidad.</w:t>
      </w:r>
    </w:p>
    <w:p w14:paraId="2F8A1A7C" w14:textId="77777777" w:rsidR="005A746C" w:rsidRPr="00965A60" w:rsidRDefault="005A746C" w:rsidP="00430EC5">
      <w:pPr>
        <w:rPr>
          <w:rFonts w:cs="Arial"/>
        </w:rPr>
      </w:pPr>
      <w:r w:rsidRPr="00965A60">
        <w:rPr>
          <w:rFonts w:cs="Arial"/>
        </w:rPr>
        <w:t>16.</w:t>
      </w:r>
      <w:r w:rsidRPr="00965A60">
        <w:rPr>
          <w:rFonts w:cs="Arial"/>
        </w:rPr>
        <w:tab/>
        <w:t xml:space="preserve">A finales del segundo semestre del 2017 las autoridades vinculadas a la conservación </w:t>
      </w:r>
      <w:r w:rsidRPr="00104A77">
        <w:rPr>
          <w:rFonts w:cs="Arial"/>
          <w:i/>
        </w:rPr>
        <w:t xml:space="preserve">in situ </w:t>
      </w:r>
      <w:r w:rsidRPr="00965A60">
        <w:rPr>
          <w:rFonts w:cs="Arial"/>
        </w:rPr>
        <w:t>de la diversidad biológica han evaluado de manera integrada y articulada el estado de conservación de biodiversidad a nivel nacional, proponiendo, de ser necesario, actualizaciones a los planes y programas presupuestales correspondientes.</w:t>
      </w:r>
    </w:p>
    <w:p w14:paraId="6026E647" w14:textId="77777777" w:rsidR="005A746C" w:rsidRPr="00965A60" w:rsidRDefault="005A746C" w:rsidP="00430EC5">
      <w:pPr>
        <w:rPr>
          <w:rFonts w:cs="Arial"/>
        </w:rPr>
      </w:pPr>
      <w:r w:rsidRPr="00965A60">
        <w:rPr>
          <w:rFonts w:cs="Arial"/>
        </w:rPr>
        <w:t>18.</w:t>
      </w:r>
      <w:r w:rsidRPr="00965A60">
        <w:rPr>
          <w:rFonts w:cs="Arial"/>
        </w:rPr>
        <w:tab/>
        <w:t xml:space="preserve">A finales del segundo semestre del 2018 se cuenta con un mapa de ecosistemas marino </w:t>
      </w:r>
      <w:proofErr w:type="gramStart"/>
      <w:r w:rsidRPr="00965A60">
        <w:rPr>
          <w:rFonts w:cs="Arial"/>
        </w:rPr>
        <w:t>costeros</w:t>
      </w:r>
      <w:proofErr w:type="gramEnd"/>
      <w:r w:rsidRPr="00965A60">
        <w:rPr>
          <w:rFonts w:cs="Arial"/>
        </w:rPr>
        <w:t xml:space="preserve"> que identifique áreas de importancia ecológica tales como bancos naturales y áreas de reproducción de especies priorizadas o desove, entre otros, con el objeto de evitar la depredación de especies.</w:t>
      </w:r>
    </w:p>
    <w:p w14:paraId="4F5D2CD3" w14:textId="77777777" w:rsidR="005A746C" w:rsidRPr="00104A77" w:rsidRDefault="005A746C" w:rsidP="00430EC5">
      <w:pPr>
        <w:rPr>
          <w:rFonts w:cs="Arial"/>
          <w:b/>
        </w:rPr>
      </w:pPr>
      <w:r w:rsidRPr="00965A60">
        <w:rPr>
          <w:rFonts w:cs="Arial"/>
          <w:b/>
        </w:rPr>
        <w:t>Objetivo Estratégico No. 2</w:t>
      </w:r>
      <w:r w:rsidRPr="00104A77">
        <w:rPr>
          <w:rFonts w:cs="Arial"/>
          <w:b/>
        </w:rPr>
        <w:t>:</w:t>
      </w:r>
      <w:r w:rsidRPr="00104A77">
        <w:rPr>
          <w:rFonts w:cs="Arial"/>
          <w:b/>
        </w:rPr>
        <w:tab/>
      </w:r>
      <w:r w:rsidRPr="00965A60">
        <w:rPr>
          <w:rFonts w:cs="Arial"/>
          <w:i/>
        </w:rPr>
        <w:t>Incrementar la contribución de la biodiversidad al desarrollo nacional mejorando la competitividad del país y la distribución equitativa de beneficios.</w:t>
      </w:r>
    </w:p>
    <w:p w14:paraId="448D7E3B" w14:textId="77777777" w:rsidR="005A746C" w:rsidRPr="00965A60" w:rsidRDefault="005A746C" w:rsidP="00430EC5">
      <w:pPr>
        <w:rPr>
          <w:rFonts w:cs="Arial"/>
        </w:rPr>
      </w:pPr>
      <w:r w:rsidRPr="00965A60">
        <w:rPr>
          <w:rFonts w:cs="Arial"/>
        </w:rPr>
        <w:t>Meta No. 4.</w:t>
      </w:r>
      <w:r w:rsidRPr="00965A60">
        <w:rPr>
          <w:rFonts w:cs="Arial"/>
        </w:rPr>
        <w:tab/>
        <w:t xml:space="preserve">Para el 2021 se ha puesto en valor cinco servicios </w:t>
      </w:r>
      <w:proofErr w:type="spellStart"/>
      <w:r w:rsidRPr="00965A60">
        <w:rPr>
          <w:rFonts w:cs="Arial"/>
        </w:rPr>
        <w:t>ecosistémicos</w:t>
      </w:r>
      <w:proofErr w:type="spellEnd"/>
      <w:r w:rsidRPr="00965A60">
        <w:rPr>
          <w:rFonts w:cs="Arial"/>
        </w:rPr>
        <w:t xml:space="preserve">, asegurando la integridad de los ecosistemas y el respeto a los pueblos indígenas involucrados, y se ha promovido similar número de </w:t>
      </w:r>
      <w:proofErr w:type="spellStart"/>
      <w:r w:rsidRPr="00965A60">
        <w:rPr>
          <w:rFonts w:cs="Arial"/>
        </w:rPr>
        <w:t>bio</w:t>
      </w:r>
      <w:proofErr w:type="spellEnd"/>
      <w:r w:rsidRPr="00965A60">
        <w:rPr>
          <w:rFonts w:cs="Arial"/>
        </w:rPr>
        <w:t xml:space="preserve">-negocios competitivos, orientados preferentemente al modelo </w:t>
      </w:r>
      <w:proofErr w:type="spellStart"/>
      <w:r w:rsidRPr="00965A60">
        <w:rPr>
          <w:rFonts w:cs="Arial"/>
        </w:rPr>
        <w:t>bio</w:t>
      </w:r>
      <w:proofErr w:type="spellEnd"/>
      <w:r w:rsidRPr="00965A60">
        <w:rPr>
          <w:rFonts w:cs="Arial"/>
        </w:rPr>
        <w:t>-comercio, logrando comercializar dos nuevos productos con valor agregado.</w:t>
      </w:r>
    </w:p>
    <w:p w14:paraId="033086A3" w14:textId="77777777" w:rsidR="005A746C" w:rsidRPr="00965A60" w:rsidRDefault="005A746C" w:rsidP="00430EC5">
      <w:pPr>
        <w:rPr>
          <w:rFonts w:cs="Arial"/>
        </w:rPr>
      </w:pPr>
      <w:r w:rsidRPr="00965A60">
        <w:rPr>
          <w:rFonts w:cs="Arial"/>
        </w:rPr>
        <w:t>Actividades para el periodo 2014-2018:</w:t>
      </w:r>
    </w:p>
    <w:p w14:paraId="77A9CF96" w14:textId="77777777" w:rsidR="005A746C" w:rsidRPr="00965A60" w:rsidRDefault="005A746C" w:rsidP="00430EC5">
      <w:pPr>
        <w:rPr>
          <w:rFonts w:cs="Arial"/>
        </w:rPr>
      </w:pPr>
      <w:r w:rsidRPr="00965A60">
        <w:rPr>
          <w:rFonts w:cs="Arial"/>
        </w:rPr>
        <w:lastRenderedPageBreak/>
        <w:t>36.</w:t>
      </w:r>
      <w:r w:rsidRPr="00965A60">
        <w:rPr>
          <w:rFonts w:cs="Arial"/>
        </w:rPr>
        <w:tab/>
        <w:t>A inicios del primer semestre del 2016 se cuenta con instrumentos técnicos y legales para la valoración económica y no económica de la biodiversidad y los servicios que brinda, incluyendo consideraciones especiales para la agro-biodiversidad.</w:t>
      </w:r>
    </w:p>
    <w:p w14:paraId="488DAC6C" w14:textId="77777777" w:rsidR="005A746C" w:rsidRPr="00965A60" w:rsidRDefault="005A746C" w:rsidP="00430EC5">
      <w:pPr>
        <w:rPr>
          <w:rFonts w:cs="Arial"/>
        </w:rPr>
      </w:pPr>
      <w:r w:rsidRPr="00965A60">
        <w:rPr>
          <w:rFonts w:cs="Arial"/>
        </w:rPr>
        <w:t>37.</w:t>
      </w:r>
      <w:r w:rsidRPr="00965A60">
        <w:rPr>
          <w:rFonts w:cs="Arial"/>
        </w:rPr>
        <w:tab/>
        <w:t xml:space="preserve">A inicios del primer semestre del 2016 se cuenta con una propuesta técnica y legal para implementar las retribuciones por servicios </w:t>
      </w:r>
      <w:proofErr w:type="spellStart"/>
      <w:r w:rsidRPr="00965A60">
        <w:rPr>
          <w:rFonts w:cs="Arial"/>
        </w:rPr>
        <w:t>ecosistémicos</w:t>
      </w:r>
      <w:proofErr w:type="spellEnd"/>
      <w:r w:rsidRPr="00965A60">
        <w:rPr>
          <w:rFonts w:cs="Arial"/>
        </w:rPr>
        <w:t>, asegurando la integridad de los ecosistemas y el respeto a los pueblos indígenas involucrados.</w:t>
      </w:r>
    </w:p>
    <w:p w14:paraId="7E1C9076" w14:textId="77777777" w:rsidR="005A746C" w:rsidRPr="00965A60" w:rsidRDefault="005A746C" w:rsidP="00430EC5">
      <w:pPr>
        <w:rPr>
          <w:rFonts w:cs="Arial"/>
        </w:rPr>
      </w:pPr>
      <w:r w:rsidRPr="00965A60">
        <w:rPr>
          <w:rFonts w:cs="Arial"/>
        </w:rPr>
        <w:t>43.</w:t>
      </w:r>
      <w:r w:rsidRPr="00965A60">
        <w:rPr>
          <w:rFonts w:cs="Arial"/>
        </w:rPr>
        <w:tab/>
        <w:t xml:space="preserve">A finales del segundo semestre del 2016 se han identificado y formulado proyectos de inversión pública y privada para al menos diez nuevos productos de la biodiversidad con potencial para el desarrollo de </w:t>
      </w:r>
      <w:proofErr w:type="spellStart"/>
      <w:r w:rsidRPr="00965A60">
        <w:rPr>
          <w:rFonts w:cs="Arial"/>
        </w:rPr>
        <w:t>bio</w:t>
      </w:r>
      <w:proofErr w:type="spellEnd"/>
      <w:r w:rsidRPr="00965A60">
        <w:rPr>
          <w:rFonts w:cs="Arial"/>
        </w:rPr>
        <w:t xml:space="preserve">-negocios competitivos, con énfasis en el modelo de </w:t>
      </w:r>
      <w:proofErr w:type="spellStart"/>
      <w:r w:rsidRPr="00965A60">
        <w:rPr>
          <w:rFonts w:cs="Arial"/>
        </w:rPr>
        <w:t>bio</w:t>
      </w:r>
      <w:proofErr w:type="spellEnd"/>
      <w:r w:rsidRPr="00965A60">
        <w:rPr>
          <w:rFonts w:cs="Arial"/>
        </w:rPr>
        <w:t>-comercio, en los cuales se consideren o prioricen iniciativas emprendidas por los pueblos indígenas.</w:t>
      </w:r>
    </w:p>
    <w:p w14:paraId="28DEE7EB" w14:textId="77777777" w:rsidR="005A746C" w:rsidRPr="00965A60" w:rsidRDefault="005A746C" w:rsidP="00430EC5">
      <w:pPr>
        <w:rPr>
          <w:rFonts w:cs="Arial"/>
        </w:rPr>
      </w:pPr>
      <w:r w:rsidRPr="00965A60">
        <w:rPr>
          <w:rFonts w:cs="Arial"/>
        </w:rPr>
        <w:t>46.</w:t>
      </w:r>
      <w:r w:rsidRPr="00965A60">
        <w:rPr>
          <w:rFonts w:cs="Arial"/>
        </w:rPr>
        <w:tab/>
        <w:t>A finales del segundo semestre del 2018 se han promovido medidas y estrategias que impulsen la generación y agregación de valor, y las exportaciones de productos derivados de la biodiversidad nativa, que promuevan la participación de los pueblos indígenas y las poblaciones locales.</w:t>
      </w:r>
    </w:p>
    <w:p w14:paraId="0A73EF2D" w14:textId="77777777" w:rsidR="005A746C" w:rsidRPr="00104A77" w:rsidRDefault="005A746C" w:rsidP="00430EC5">
      <w:pPr>
        <w:rPr>
          <w:rFonts w:cs="Arial"/>
          <w:b/>
        </w:rPr>
      </w:pPr>
      <w:r w:rsidRPr="00965A60">
        <w:rPr>
          <w:rFonts w:cs="Arial"/>
          <w:b/>
        </w:rPr>
        <w:t>Objetico Estratégico No. 3</w:t>
      </w:r>
      <w:r w:rsidRPr="00104A77">
        <w:rPr>
          <w:rFonts w:cs="Arial"/>
          <w:b/>
        </w:rPr>
        <w:t>:</w:t>
      </w:r>
      <w:r w:rsidRPr="00104A77">
        <w:rPr>
          <w:rFonts w:cs="Arial"/>
          <w:b/>
        </w:rPr>
        <w:tab/>
      </w:r>
      <w:r w:rsidRPr="00965A60">
        <w:rPr>
          <w:rFonts w:cs="Arial"/>
          <w:i/>
        </w:rPr>
        <w:t xml:space="preserve">Reducir las presiones directas e indirectas para la diversidad biológica y sus procesos </w:t>
      </w:r>
      <w:proofErr w:type="spellStart"/>
      <w:r w:rsidRPr="00965A60">
        <w:rPr>
          <w:rFonts w:cs="Arial"/>
          <w:i/>
        </w:rPr>
        <w:t>ecosistémicos</w:t>
      </w:r>
      <w:proofErr w:type="spellEnd"/>
      <w:r w:rsidRPr="00965A60">
        <w:rPr>
          <w:rFonts w:cs="Arial"/>
          <w:i/>
        </w:rPr>
        <w:t>.</w:t>
      </w:r>
    </w:p>
    <w:p w14:paraId="10DFCBE3" w14:textId="77777777" w:rsidR="005A746C" w:rsidRDefault="005A746C" w:rsidP="00430EC5">
      <w:pPr>
        <w:rPr>
          <w:rFonts w:cs="Arial"/>
        </w:rPr>
      </w:pPr>
      <w:r w:rsidRPr="00965A60">
        <w:rPr>
          <w:rFonts w:cs="Arial"/>
        </w:rPr>
        <w:t>Meta No. 6.</w:t>
      </w:r>
      <w:r w:rsidRPr="00965A60">
        <w:rPr>
          <w:rFonts w:cs="Arial"/>
        </w:rPr>
        <w:tab/>
        <w:t>Al 2021 se ha incrementado en 20 % la conciencia y valoración de los peruanos sobre el aporte de la biodiversidad al desarrollo y bienestar nacional.</w:t>
      </w:r>
    </w:p>
    <w:p w14:paraId="7287784B" w14:textId="749D8F97" w:rsidR="005A746C" w:rsidRPr="00965A60" w:rsidRDefault="005A746C" w:rsidP="00430EC5">
      <w:pPr>
        <w:rPr>
          <w:rFonts w:cs="Arial"/>
        </w:rPr>
      </w:pPr>
      <w:r w:rsidRPr="00965A60">
        <w:rPr>
          <w:rFonts w:cs="Arial"/>
        </w:rPr>
        <w:t>Actividades para el periodo 2014-2018:</w:t>
      </w:r>
    </w:p>
    <w:p w14:paraId="521ED55F" w14:textId="77777777" w:rsidR="005A746C" w:rsidRPr="00965A60" w:rsidRDefault="005A746C" w:rsidP="00430EC5">
      <w:pPr>
        <w:rPr>
          <w:rFonts w:cs="Arial"/>
        </w:rPr>
      </w:pPr>
      <w:r w:rsidRPr="00965A60">
        <w:rPr>
          <w:rFonts w:cs="Arial"/>
        </w:rPr>
        <w:t>58.</w:t>
      </w:r>
      <w:r w:rsidRPr="00965A60">
        <w:rPr>
          <w:rFonts w:cs="Arial"/>
        </w:rPr>
        <w:tab/>
        <w:t>A finales del primer semestre del 2015 se han incentivado mecanismos voluntarios para la difusión y educación sobre el valor y uso sostenible de la diversidad biológica, en alianza con el sector privado, colegios profesionales y universidades.</w:t>
      </w:r>
    </w:p>
    <w:p w14:paraId="03EC8E95" w14:textId="77777777" w:rsidR="005A746C" w:rsidRPr="00965A60" w:rsidRDefault="005A746C" w:rsidP="00430EC5">
      <w:pPr>
        <w:rPr>
          <w:rFonts w:cs="Arial"/>
        </w:rPr>
      </w:pPr>
      <w:r w:rsidRPr="00965A60">
        <w:rPr>
          <w:rFonts w:cs="Arial"/>
        </w:rPr>
        <w:t>60.</w:t>
      </w:r>
      <w:r w:rsidRPr="00965A60">
        <w:rPr>
          <w:rFonts w:cs="Arial"/>
        </w:rPr>
        <w:tab/>
        <w:t>A finales del primer semestre del 2016 se ha elaborado un Plan Nacional de comunicaciones y educación sobre la diversidad biológica que considera actividades para mejorar la conciencia y la valoración de los peruanos, con énfasis en las especies marino costeras amenazadas.</w:t>
      </w:r>
    </w:p>
    <w:p w14:paraId="2526A147" w14:textId="77777777" w:rsidR="005A746C" w:rsidRPr="00965A60" w:rsidRDefault="005A746C" w:rsidP="00430EC5">
      <w:pPr>
        <w:rPr>
          <w:rFonts w:cs="Arial"/>
        </w:rPr>
      </w:pPr>
      <w:r w:rsidRPr="00965A60">
        <w:rPr>
          <w:rFonts w:cs="Arial"/>
        </w:rPr>
        <w:t>61.</w:t>
      </w:r>
      <w:r w:rsidRPr="00965A60">
        <w:rPr>
          <w:rFonts w:cs="Arial"/>
        </w:rPr>
        <w:tab/>
        <w:t>A finales del primer semestre del 2016 se ha avanzado en la divulgación del conocimiento sobre el estado de la diversidad biológica marino costera del Perú mediante la elaboración de informes nacionales.</w:t>
      </w:r>
    </w:p>
    <w:p w14:paraId="5605EEA4" w14:textId="77777777" w:rsidR="005A746C" w:rsidRPr="00965A60" w:rsidRDefault="005A746C" w:rsidP="00430EC5">
      <w:pPr>
        <w:rPr>
          <w:rFonts w:cs="Arial"/>
        </w:rPr>
      </w:pPr>
      <w:r w:rsidRPr="00965A60">
        <w:rPr>
          <w:rFonts w:cs="Arial"/>
        </w:rPr>
        <w:t>62.</w:t>
      </w:r>
      <w:r w:rsidRPr="00965A60">
        <w:rPr>
          <w:rFonts w:cs="Arial"/>
        </w:rPr>
        <w:tab/>
        <w:t xml:space="preserve">A finales del primer semestre del 2016 las autoridades nacionales, regionales, locales, los pescadores y la comunidad en general se encuentran informadas sobre el estado de la </w:t>
      </w:r>
      <w:proofErr w:type="gramStart"/>
      <w:r w:rsidRPr="00965A60">
        <w:rPr>
          <w:rFonts w:cs="Arial"/>
        </w:rPr>
        <w:lastRenderedPageBreak/>
        <w:t>diversidad</w:t>
      </w:r>
      <w:proofErr w:type="gramEnd"/>
      <w:r w:rsidRPr="00965A60">
        <w:rPr>
          <w:rFonts w:cs="Arial"/>
        </w:rPr>
        <w:t xml:space="preserve"> biológica marino costera del Perú, además de su valor, tendencias y consecuencias de su pérdida o degradación.</w:t>
      </w:r>
    </w:p>
    <w:p w14:paraId="3CA0FF37" w14:textId="77777777" w:rsidR="005A746C" w:rsidRPr="00965A60" w:rsidRDefault="005A746C" w:rsidP="00430EC5">
      <w:pPr>
        <w:rPr>
          <w:rFonts w:cs="Arial"/>
        </w:rPr>
      </w:pPr>
      <w:r w:rsidRPr="00965A60">
        <w:rPr>
          <w:rFonts w:cs="Arial"/>
        </w:rPr>
        <w:t xml:space="preserve">65. </w:t>
      </w:r>
      <w:r w:rsidRPr="00965A60">
        <w:rPr>
          <w:rFonts w:cs="Arial"/>
        </w:rPr>
        <w:tab/>
        <w:t>A finales del segundo semestre del 2016 se han publicado catálogos y un atlas de la diversidad biológica marino costera peruana.</w:t>
      </w:r>
    </w:p>
    <w:p w14:paraId="076BC191" w14:textId="77777777" w:rsidR="005A746C" w:rsidRPr="00965A60" w:rsidRDefault="005A746C" w:rsidP="00430EC5">
      <w:pPr>
        <w:rPr>
          <w:rFonts w:cs="Arial"/>
        </w:rPr>
      </w:pPr>
      <w:r w:rsidRPr="00965A60">
        <w:rPr>
          <w:rFonts w:cs="Arial"/>
        </w:rPr>
        <w:t>Meta No. 7.</w:t>
      </w:r>
      <w:r w:rsidRPr="00965A60">
        <w:rPr>
          <w:rFonts w:cs="Arial"/>
        </w:rPr>
        <w:tab/>
        <w:t>Para el 2021 se ha reducido en 5% la tasa de degradación de los ecosistemas, con énfasis en ecosistemas forestales y frágiles.</w:t>
      </w:r>
    </w:p>
    <w:p w14:paraId="4BED9052" w14:textId="77777777" w:rsidR="005A746C" w:rsidRPr="00965A60" w:rsidRDefault="005A746C" w:rsidP="00430EC5">
      <w:pPr>
        <w:rPr>
          <w:rFonts w:cs="Arial"/>
        </w:rPr>
      </w:pPr>
      <w:r w:rsidRPr="00965A60">
        <w:rPr>
          <w:rFonts w:cs="Arial"/>
        </w:rPr>
        <w:t>Actividades para el periodo 2014-2018:</w:t>
      </w:r>
    </w:p>
    <w:p w14:paraId="73C67FEA" w14:textId="77777777" w:rsidR="005A746C" w:rsidRPr="00965A60" w:rsidRDefault="005A746C" w:rsidP="00430EC5">
      <w:pPr>
        <w:rPr>
          <w:rFonts w:cs="Arial"/>
        </w:rPr>
      </w:pPr>
      <w:r w:rsidRPr="00965A60">
        <w:rPr>
          <w:rFonts w:cs="Arial"/>
        </w:rPr>
        <w:t>74.</w:t>
      </w:r>
      <w:r w:rsidRPr="00965A60">
        <w:rPr>
          <w:rFonts w:cs="Arial"/>
        </w:rPr>
        <w:tab/>
        <w:t>A inicios del segundo semestre del 2016 se han establecido protocolos de monitoreo del impacto antrópico en áreas marino costeras.</w:t>
      </w:r>
    </w:p>
    <w:p w14:paraId="212623F4" w14:textId="77777777" w:rsidR="005A746C" w:rsidRPr="00965A60" w:rsidRDefault="005A746C" w:rsidP="00430EC5">
      <w:pPr>
        <w:rPr>
          <w:rFonts w:cs="Arial"/>
        </w:rPr>
      </w:pPr>
      <w:r w:rsidRPr="00965A60">
        <w:rPr>
          <w:rFonts w:cs="Arial"/>
        </w:rPr>
        <w:t>77.</w:t>
      </w:r>
      <w:r w:rsidRPr="00965A60">
        <w:rPr>
          <w:rFonts w:cs="Arial"/>
        </w:rPr>
        <w:tab/>
        <w:t xml:space="preserve">A finales del segundo semestre del 2016, al menos tres zonas marinas fuera de ANP estarán bajo un programa de manejo orientado a la recuperación del ecosistema con participación de actores locales. </w:t>
      </w:r>
    </w:p>
    <w:p w14:paraId="4F3E095A" w14:textId="77777777" w:rsidR="005A746C" w:rsidRPr="00965A60" w:rsidRDefault="005A746C" w:rsidP="00430EC5">
      <w:pPr>
        <w:rPr>
          <w:rFonts w:cs="Arial"/>
        </w:rPr>
      </w:pPr>
      <w:r w:rsidRPr="00965A60">
        <w:rPr>
          <w:rFonts w:cs="Arial"/>
        </w:rPr>
        <w:t xml:space="preserve">78. </w:t>
      </w:r>
      <w:r w:rsidRPr="00965A60">
        <w:rPr>
          <w:rFonts w:cs="Arial"/>
        </w:rPr>
        <w:tab/>
        <w:t>A finales del segundo semestre del 2016 se han aprobado incentivos que promueven la participación privada, incluyendo poblaciones locales y, en especial, pueblos indígenas, en la recuperación de ecosistemas degradados.</w:t>
      </w:r>
    </w:p>
    <w:p w14:paraId="19F9A700" w14:textId="77777777" w:rsidR="005A746C" w:rsidRPr="00965A60" w:rsidRDefault="005A746C" w:rsidP="00430EC5">
      <w:pPr>
        <w:rPr>
          <w:rFonts w:cs="Arial"/>
        </w:rPr>
      </w:pPr>
      <w:r w:rsidRPr="00965A60">
        <w:rPr>
          <w:rFonts w:cs="Arial"/>
        </w:rPr>
        <w:t xml:space="preserve">82. </w:t>
      </w:r>
      <w:r w:rsidRPr="00965A60">
        <w:rPr>
          <w:rFonts w:cs="Arial"/>
        </w:rPr>
        <w:tab/>
        <w:t>A inicios del segundo semestre del 2017 se han desarrollado al menos cinco alianzas público privadas que faciliten la recuperación de ecosistemas degradados.</w:t>
      </w:r>
    </w:p>
    <w:p w14:paraId="198874A8" w14:textId="77777777" w:rsidR="005A746C" w:rsidRPr="00965A60" w:rsidRDefault="005A746C" w:rsidP="00430EC5">
      <w:pPr>
        <w:rPr>
          <w:rFonts w:cs="Arial"/>
        </w:rPr>
      </w:pPr>
      <w:r w:rsidRPr="00965A60">
        <w:rPr>
          <w:rFonts w:cs="Arial"/>
        </w:rPr>
        <w:t>Meta No. 8.</w:t>
      </w:r>
      <w:r w:rsidRPr="00965A60">
        <w:rPr>
          <w:rFonts w:cs="Arial"/>
        </w:rPr>
        <w:tab/>
        <w:t>Al 2021 se habrá mejorado la efectividad del control, supervisión y fiscalización en el aprovechamiento de la biodiversidad, e incrementado los mecanismos regulatorios de las especies amenazadas y las especies exóticas invasoras</w:t>
      </w:r>
    </w:p>
    <w:p w14:paraId="22F019B7" w14:textId="77777777" w:rsidR="005A746C" w:rsidRPr="00965A60" w:rsidRDefault="005A746C" w:rsidP="00430EC5">
      <w:pPr>
        <w:rPr>
          <w:rFonts w:cs="Arial"/>
        </w:rPr>
      </w:pPr>
      <w:r w:rsidRPr="00965A60">
        <w:rPr>
          <w:rFonts w:cs="Arial"/>
        </w:rPr>
        <w:t>Actividades para el periodo 2014-2018:</w:t>
      </w:r>
    </w:p>
    <w:p w14:paraId="70173C4C" w14:textId="77777777" w:rsidR="005A746C" w:rsidRPr="00965A60" w:rsidRDefault="005A746C" w:rsidP="00430EC5">
      <w:pPr>
        <w:rPr>
          <w:rFonts w:cs="Arial"/>
        </w:rPr>
      </w:pPr>
      <w:r w:rsidRPr="00965A60">
        <w:rPr>
          <w:rFonts w:cs="Arial"/>
        </w:rPr>
        <w:t>87.</w:t>
      </w:r>
      <w:r w:rsidRPr="00965A60">
        <w:rPr>
          <w:rFonts w:cs="Arial"/>
        </w:rPr>
        <w:tab/>
        <w:t>A inicios del primer semestre del 2016 se han fortalecido las medidas de control de la comercialización de los principales recursos hidrobiológicos del Perú.</w:t>
      </w:r>
    </w:p>
    <w:p w14:paraId="46712000" w14:textId="77777777" w:rsidR="005A746C" w:rsidRPr="00965A60" w:rsidRDefault="005A746C" w:rsidP="00430EC5">
      <w:pPr>
        <w:rPr>
          <w:rFonts w:cs="Arial"/>
        </w:rPr>
      </w:pPr>
      <w:r w:rsidRPr="00965A60">
        <w:rPr>
          <w:rFonts w:cs="Arial"/>
        </w:rPr>
        <w:t>88.</w:t>
      </w:r>
      <w:r w:rsidRPr="00965A60">
        <w:rPr>
          <w:rFonts w:cs="Arial"/>
        </w:rPr>
        <w:tab/>
        <w:t>A finales del primer semestre del 2016 se cuenta con un diagnóstico, elaborado de manera multisectorial e involucrando a diferentes niveles de gobierno, sobre las funciones y roles de cada institución pública con responsabilidad en el aprovechamiento de la biodiversidad, incluyendo los ecosistemas marino costeros. Este diagnóstico incluye, de ser necesario, una propuesta para mejorar la efectividad del control, supervisión y fiscalización.</w:t>
      </w:r>
    </w:p>
    <w:p w14:paraId="7CE58B85" w14:textId="77777777" w:rsidR="005A746C" w:rsidRPr="00104A77" w:rsidRDefault="005A746C" w:rsidP="00430EC5">
      <w:pPr>
        <w:rPr>
          <w:rFonts w:cs="Arial"/>
          <w:i/>
        </w:rPr>
      </w:pPr>
      <w:r w:rsidRPr="00965A60">
        <w:rPr>
          <w:rFonts w:cs="Arial"/>
          <w:b/>
        </w:rPr>
        <w:t>Objetivo Estratégico No. 4</w:t>
      </w:r>
      <w:r w:rsidRPr="00104A77">
        <w:rPr>
          <w:rFonts w:cs="Arial"/>
          <w:b/>
        </w:rPr>
        <w:t>:</w:t>
      </w:r>
      <w:r w:rsidRPr="00104A77">
        <w:rPr>
          <w:rFonts w:cs="Arial"/>
          <w:b/>
        </w:rPr>
        <w:tab/>
      </w:r>
      <w:r w:rsidRPr="00965A60">
        <w:rPr>
          <w:rFonts w:cs="Arial"/>
          <w:i/>
        </w:rPr>
        <w:t>Fortalecer las capacidades de los tres niveles de gobierno para la gestión sostenible de la biodiversidad</w:t>
      </w:r>
      <w:r w:rsidRPr="00104A77">
        <w:rPr>
          <w:rFonts w:cs="Arial"/>
          <w:i/>
        </w:rPr>
        <w:t>.</w:t>
      </w:r>
    </w:p>
    <w:p w14:paraId="0D266043" w14:textId="77777777" w:rsidR="005A746C" w:rsidRPr="00965A60" w:rsidRDefault="005A746C" w:rsidP="00430EC5">
      <w:pPr>
        <w:rPr>
          <w:rFonts w:cs="Arial"/>
        </w:rPr>
      </w:pPr>
      <w:r w:rsidRPr="00965A60">
        <w:rPr>
          <w:rFonts w:cs="Arial"/>
        </w:rPr>
        <w:lastRenderedPageBreak/>
        <w:t>Meta No. 9.</w:t>
      </w:r>
      <w:r w:rsidRPr="00965A60">
        <w:rPr>
          <w:rFonts w:cs="Arial"/>
        </w:rPr>
        <w:tab/>
        <w:t>Para el 2021 se habrán fortalecido las capacidades institucionales en todos los niveles de gobierno para lograr una gestión efectiva y eficaz de la diversidad biológica.</w:t>
      </w:r>
    </w:p>
    <w:p w14:paraId="14478FE2" w14:textId="77777777" w:rsidR="005A746C" w:rsidRPr="00965A60" w:rsidRDefault="005A746C" w:rsidP="00430EC5">
      <w:pPr>
        <w:rPr>
          <w:rFonts w:cs="Arial"/>
        </w:rPr>
      </w:pPr>
      <w:r w:rsidRPr="00965A60">
        <w:rPr>
          <w:rFonts w:cs="Arial"/>
        </w:rPr>
        <w:t>Actividades para el periodo 2014-2018:</w:t>
      </w:r>
    </w:p>
    <w:p w14:paraId="186784A8" w14:textId="77777777" w:rsidR="005A746C" w:rsidRPr="00965A60" w:rsidRDefault="005A746C" w:rsidP="00430EC5">
      <w:pPr>
        <w:rPr>
          <w:rFonts w:cs="Arial"/>
        </w:rPr>
      </w:pPr>
      <w:r w:rsidRPr="00A344CD">
        <w:rPr>
          <w:rFonts w:cs="Arial"/>
        </w:rPr>
        <w:t>93.</w:t>
      </w:r>
      <w:r w:rsidRPr="00A344CD">
        <w:rPr>
          <w:rFonts w:cs="Arial"/>
        </w:rPr>
        <w:tab/>
        <w:t>A finales del segundo semestre del 2014 se cuenta con un mecanismo de coordinación intersectorial para la gestión integrada de los ecosistemas marino-costeros.</w:t>
      </w:r>
    </w:p>
    <w:p w14:paraId="5658D34F" w14:textId="77777777" w:rsidR="005A746C" w:rsidRPr="00965A60" w:rsidRDefault="005A746C" w:rsidP="00430EC5">
      <w:pPr>
        <w:rPr>
          <w:rFonts w:cs="Arial"/>
        </w:rPr>
      </w:pPr>
      <w:r w:rsidRPr="00965A60">
        <w:rPr>
          <w:rFonts w:cs="Arial"/>
        </w:rPr>
        <w:t>94.</w:t>
      </w:r>
      <w:r w:rsidRPr="00965A60">
        <w:rPr>
          <w:rFonts w:cs="Arial"/>
        </w:rPr>
        <w:tab/>
        <w:t>A finales del primer semestre del 2015 se ha elaborado un diagnóstico preliminar sobre las capacidades institucionales para la gestión de la biodiversidad en los tres niveles de gobierno. Este diagnóstico incluye propuestas para el fortalecimiento de las instituciones consideradas y mecanismos para mejorar la coordinación, la cooperación y el apoyo mutuo entre instituciones públicas. Las propuestas priorizadas en este diagnóstico se ejecutan anualmente</w:t>
      </w:r>
    </w:p>
    <w:p w14:paraId="28AF52F8" w14:textId="77777777" w:rsidR="005A746C" w:rsidRPr="00965A60" w:rsidRDefault="005A746C" w:rsidP="00430EC5">
      <w:pPr>
        <w:rPr>
          <w:rFonts w:cs="Arial"/>
        </w:rPr>
      </w:pPr>
      <w:r w:rsidRPr="00965A60">
        <w:rPr>
          <w:rFonts w:cs="Arial"/>
        </w:rPr>
        <w:t>97.</w:t>
      </w:r>
      <w:r w:rsidRPr="00965A60">
        <w:rPr>
          <w:rFonts w:cs="Arial"/>
        </w:rPr>
        <w:tab/>
        <w:t xml:space="preserve">A finales del segundo semestre del 2015 se han articulado intersectorialmente y entre niveles de gobierno, los programas presupuestales asociados con la conservación </w:t>
      </w:r>
      <w:r w:rsidRPr="00104A77">
        <w:rPr>
          <w:rFonts w:cs="Arial"/>
          <w:i/>
        </w:rPr>
        <w:t>in situ</w:t>
      </w:r>
      <w:r w:rsidRPr="00965A60">
        <w:rPr>
          <w:rFonts w:cs="Arial"/>
        </w:rPr>
        <w:t xml:space="preserve"> de la diversidad biológica.</w:t>
      </w:r>
    </w:p>
    <w:p w14:paraId="690EC2B1" w14:textId="77777777" w:rsidR="005A746C" w:rsidRPr="00965A60" w:rsidRDefault="005A746C" w:rsidP="00430EC5">
      <w:pPr>
        <w:rPr>
          <w:rFonts w:cs="Arial"/>
        </w:rPr>
      </w:pPr>
      <w:r w:rsidRPr="00965A60">
        <w:rPr>
          <w:rFonts w:cs="Arial"/>
        </w:rPr>
        <w:t>98.</w:t>
      </w:r>
      <w:r w:rsidRPr="00965A60">
        <w:rPr>
          <w:rFonts w:cs="Arial"/>
        </w:rPr>
        <w:tab/>
        <w:t xml:space="preserve">A finales del primer semestre del 2016 se ha diseñado y avanzando en la implementación de actividades de entrenamiento, actualización y capacitación para caracterizar componentes de la diversidad biológica marino-costera. </w:t>
      </w:r>
    </w:p>
    <w:p w14:paraId="764FEEE4" w14:textId="77777777" w:rsidR="005A746C" w:rsidRPr="00965A60" w:rsidRDefault="005A746C" w:rsidP="00430EC5">
      <w:pPr>
        <w:rPr>
          <w:rFonts w:cs="Arial"/>
        </w:rPr>
      </w:pPr>
      <w:r w:rsidRPr="00965A60">
        <w:rPr>
          <w:rFonts w:cs="Arial"/>
        </w:rPr>
        <w:t>101.</w:t>
      </w:r>
      <w:r w:rsidRPr="00965A60">
        <w:rPr>
          <w:rFonts w:cs="Arial"/>
        </w:rPr>
        <w:tab/>
        <w:t>A finales del primer semestre del 2016 se han implementado mecanismos de articulación de las políticas y presupuestos nacionales con los ministerios con competencias en la biodiversidad, así como con gobiernos regionales y locales, para la adecuada implementación de la EPANDB.</w:t>
      </w:r>
    </w:p>
    <w:p w14:paraId="738CA4ED" w14:textId="77777777" w:rsidR="005A746C" w:rsidRPr="00965A60" w:rsidRDefault="005A746C" w:rsidP="00430EC5">
      <w:pPr>
        <w:rPr>
          <w:rFonts w:cs="Arial"/>
        </w:rPr>
      </w:pPr>
      <w:r w:rsidRPr="00965A60">
        <w:rPr>
          <w:rFonts w:cs="Arial"/>
        </w:rPr>
        <w:t>102.</w:t>
      </w:r>
      <w:r w:rsidRPr="00965A60">
        <w:rPr>
          <w:rFonts w:cs="Arial"/>
        </w:rPr>
        <w:tab/>
        <w:t>A finales del primer semestre del 2016 se cuenta con una estrategia de fortalecimiento de capacidades para la gestión de la diversidad biológica, elaborada multisectorialmente y acordada entre los diferentes niveles de gobierno, que considera a las diferentes instituciones públicas, niveles de gobierno y sociedad civil, pueblos indígenas y poblaciones locales; las actividades priorizadas en esta estrategia se implementan gradualmente hasta el 2018.</w:t>
      </w:r>
    </w:p>
    <w:p w14:paraId="759FFAED" w14:textId="77777777" w:rsidR="005A746C" w:rsidRPr="00965A60" w:rsidRDefault="005A746C" w:rsidP="00430EC5">
      <w:pPr>
        <w:rPr>
          <w:rFonts w:cs="Arial"/>
        </w:rPr>
      </w:pPr>
      <w:r w:rsidRPr="00965A60">
        <w:rPr>
          <w:rFonts w:cs="Arial"/>
        </w:rPr>
        <w:t>107.</w:t>
      </w:r>
      <w:r w:rsidRPr="00965A60">
        <w:rPr>
          <w:rFonts w:cs="Arial"/>
        </w:rPr>
        <w:tab/>
        <w:t>A inicios del primer semestre del 2018 los tres niveles de gobierno han sido capacitados y han mejorado substancialmente sus capacidades para la gestión de la diversidad biológica de manera participativa, de acuerdo con sus competencias.</w:t>
      </w:r>
    </w:p>
    <w:p w14:paraId="156A466B" w14:textId="77777777" w:rsidR="005A746C" w:rsidRPr="00104A77" w:rsidRDefault="005A746C" w:rsidP="00430EC5">
      <w:pPr>
        <w:rPr>
          <w:rFonts w:cs="Arial"/>
          <w:i/>
        </w:rPr>
      </w:pPr>
      <w:r w:rsidRPr="00965A60">
        <w:rPr>
          <w:rFonts w:cs="Arial"/>
          <w:b/>
        </w:rPr>
        <w:t>Objetivo Estratégico No. 5:</w:t>
      </w:r>
      <w:r w:rsidRPr="00965A60">
        <w:rPr>
          <w:rFonts w:cs="Arial"/>
          <w:b/>
        </w:rPr>
        <w:tab/>
      </w:r>
      <w:r w:rsidRPr="00965A60">
        <w:rPr>
          <w:rFonts w:cs="Arial"/>
          <w:i/>
        </w:rPr>
        <w:t>Mejorar el conocimiento y las tecnologías para el uso sostenible de la biodiversidad, así como la revalorización de los conocimientos tradicionales vinculados con la biodiversidad de los pueblos indígenas</w:t>
      </w:r>
      <w:r w:rsidRPr="00104A77">
        <w:rPr>
          <w:rFonts w:cs="Arial"/>
          <w:i/>
        </w:rPr>
        <w:t>.</w:t>
      </w:r>
    </w:p>
    <w:p w14:paraId="5193F333" w14:textId="77777777" w:rsidR="005A746C" w:rsidRDefault="005A746C" w:rsidP="00430EC5">
      <w:pPr>
        <w:rPr>
          <w:rFonts w:cs="Arial"/>
        </w:rPr>
      </w:pPr>
      <w:r w:rsidRPr="00965A60">
        <w:rPr>
          <w:rFonts w:cs="Arial"/>
        </w:rPr>
        <w:lastRenderedPageBreak/>
        <w:t>Meta No. 10.</w:t>
      </w:r>
      <w:r w:rsidRPr="00965A60">
        <w:rPr>
          <w:rFonts w:cs="Arial"/>
        </w:rPr>
        <w:tab/>
        <w:t>Para el 2021 se ha incrementado el conocimiento científico, el desarrollo de la tecnología y la innovación, integrando el conocimiento científico y los conocimientos tradicionales relativos a la conservación y uso sostenible de la biodiversidad.</w:t>
      </w:r>
    </w:p>
    <w:p w14:paraId="3A2F5762" w14:textId="33E5C8E4" w:rsidR="005A746C" w:rsidRPr="00965A60" w:rsidRDefault="005A746C" w:rsidP="00430EC5">
      <w:pPr>
        <w:rPr>
          <w:rFonts w:cs="Arial"/>
        </w:rPr>
      </w:pPr>
      <w:r w:rsidRPr="00965A60">
        <w:rPr>
          <w:rFonts w:cs="Arial"/>
        </w:rPr>
        <w:t>Actividades para el periodo 2014-2018:</w:t>
      </w:r>
    </w:p>
    <w:p w14:paraId="45381202" w14:textId="77777777" w:rsidR="005A746C" w:rsidRPr="00965A60" w:rsidRDefault="005A746C" w:rsidP="00430EC5">
      <w:pPr>
        <w:rPr>
          <w:rFonts w:cs="Arial"/>
        </w:rPr>
      </w:pPr>
      <w:r w:rsidRPr="00965A60">
        <w:rPr>
          <w:rFonts w:cs="Arial"/>
        </w:rPr>
        <w:t>111.</w:t>
      </w:r>
      <w:r w:rsidRPr="00965A60">
        <w:rPr>
          <w:rFonts w:cs="Arial"/>
        </w:rPr>
        <w:tab/>
        <w:t>A finales del segundo semestre del 2015 se han fortalecido los programas de monitoreo nacional y regional de la diversidad biológica marino costera para evaluar y predecir los posibles impactos de los eventos naturales sobre los ecosistemas marino costeros.</w:t>
      </w:r>
    </w:p>
    <w:p w14:paraId="1317B48A" w14:textId="77777777" w:rsidR="005A746C" w:rsidRPr="00965A60" w:rsidRDefault="005A746C" w:rsidP="00430EC5">
      <w:pPr>
        <w:rPr>
          <w:rFonts w:cs="Arial"/>
        </w:rPr>
      </w:pPr>
      <w:r w:rsidRPr="00965A60">
        <w:rPr>
          <w:rFonts w:cs="Arial"/>
        </w:rPr>
        <w:t>113.</w:t>
      </w:r>
      <w:r w:rsidRPr="00965A60">
        <w:rPr>
          <w:rFonts w:cs="Arial"/>
        </w:rPr>
        <w:tab/>
        <w:t>A inicios del primer semestre de 2016 se ha realizado un estudio para evaluar y determinar “especies y ecosistemas clave” o “grupos funcionales de especies clave”.</w:t>
      </w:r>
    </w:p>
    <w:p w14:paraId="0F75D57F" w14:textId="77777777" w:rsidR="005A746C" w:rsidRPr="00965A60" w:rsidRDefault="005A746C" w:rsidP="00430EC5">
      <w:pPr>
        <w:rPr>
          <w:rFonts w:cs="Arial"/>
        </w:rPr>
      </w:pPr>
      <w:r w:rsidRPr="00965A60">
        <w:rPr>
          <w:rFonts w:cs="Arial"/>
        </w:rPr>
        <w:t>115.</w:t>
      </w:r>
      <w:r w:rsidRPr="00965A60">
        <w:rPr>
          <w:rFonts w:cs="Arial"/>
        </w:rPr>
        <w:tab/>
        <w:t>A finales del primer semestre del 2016 se han desarrollado al menos quince trabajos de investigación, con consentimiento informado de los pueblos indígenas y las poblaciones locales, cuando corresponda, vinculados con ecosistemas o especies de importancia para la conservación en el Perú, con énfasis en la revaloración de los conocimientos tradicionales, los mismos que son utilizados en la toma de decisiones para la gestión de la diversidad biológica.</w:t>
      </w:r>
    </w:p>
    <w:p w14:paraId="368C27ED" w14:textId="77777777" w:rsidR="005A746C" w:rsidRPr="00965A60" w:rsidRDefault="005A746C" w:rsidP="00430EC5">
      <w:pPr>
        <w:rPr>
          <w:rFonts w:cs="Arial"/>
        </w:rPr>
      </w:pPr>
      <w:r w:rsidRPr="00A344CD">
        <w:rPr>
          <w:rFonts w:cs="Arial"/>
        </w:rPr>
        <w:t>118.</w:t>
      </w:r>
      <w:r w:rsidRPr="00A344CD">
        <w:rPr>
          <w:rFonts w:cs="Arial"/>
        </w:rPr>
        <w:tab/>
        <w:t xml:space="preserve">A finales del segundo semestre del 2016 se cuenta con una red de centros de referencia sobre diversidad biológica marina, integrada a la red de centros de conservación </w:t>
      </w:r>
      <w:r w:rsidRPr="00A344CD">
        <w:rPr>
          <w:rFonts w:cs="Arial"/>
          <w:i/>
        </w:rPr>
        <w:t>ex situ</w:t>
      </w:r>
      <w:r w:rsidRPr="00A344CD">
        <w:rPr>
          <w:rFonts w:cs="Arial"/>
        </w:rPr>
        <w:t>.</w:t>
      </w:r>
    </w:p>
    <w:p w14:paraId="39E4912E" w14:textId="77777777" w:rsidR="005A746C" w:rsidRPr="00965A60" w:rsidRDefault="005A746C" w:rsidP="00430EC5">
      <w:pPr>
        <w:rPr>
          <w:rFonts w:cs="Arial"/>
        </w:rPr>
      </w:pPr>
      <w:r w:rsidRPr="00965A60">
        <w:rPr>
          <w:rFonts w:cs="Arial"/>
        </w:rPr>
        <w:t>120.</w:t>
      </w:r>
      <w:r w:rsidRPr="00965A60">
        <w:rPr>
          <w:rFonts w:cs="Arial"/>
        </w:rPr>
        <w:tab/>
        <w:t>A finales del segundo semestre del 2016 se ha iniciado la implementación de al menos cuatro buenas prácticas de uso de tecnologías de la información para la gestión del conocimiento sobre la diversidad biológica.</w:t>
      </w:r>
    </w:p>
    <w:p w14:paraId="10A262A3" w14:textId="77777777" w:rsidR="005A746C" w:rsidRPr="00965A60" w:rsidRDefault="005A746C" w:rsidP="00430EC5">
      <w:pPr>
        <w:rPr>
          <w:rFonts w:cs="Arial"/>
        </w:rPr>
      </w:pPr>
      <w:r w:rsidRPr="00965A60">
        <w:rPr>
          <w:rFonts w:cs="Arial"/>
        </w:rPr>
        <w:t>121.</w:t>
      </w:r>
      <w:r w:rsidRPr="00965A60">
        <w:rPr>
          <w:rFonts w:cs="Arial"/>
        </w:rPr>
        <w:tab/>
        <w:t>A finales del segundo semestre del 2016 se ha avanzado en la implementación de colecciones científicas y centros de referencia de flora y fauna marino costera del Perú.</w:t>
      </w:r>
    </w:p>
    <w:p w14:paraId="40AEC149" w14:textId="77777777" w:rsidR="005A746C" w:rsidRPr="00965A60" w:rsidRDefault="005A746C" w:rsidP="00430EC5">
      <w:pPr>
        <w:rPr>
          <w:rFonts w:cs="Arial"/>
        </w:rPr>
      </w:pPr>
      <w:r w:rsidRPr="00965A60">
        <w:rPr>
          <w:rFonts w:cs="Arial"/>
        </w:rPr>
        <w:t>122.</w:t>
      </w:r>
      <w:r w:rsidRPr="00965A60">
        <w:rPr>
          <w:rFonts w:cs="Arial"/>
        </w:rPr>
        <w:tab/>
        <w:t>A finales del segundo semestre del 2016 se ha avanzado en el inventario nacional de la diversidad biológica marino costera.</w:t>
      </w:r>
    </w:p>
    <w:p w14:paraId="0B39DE98" w14:textId="77777777" w:rsidR="005A746C" w:rsidRPr="00104A77" w:rsidRDefault="005A746C" w:rsidP="00430EC5">
      <w:pPr>
        <w:rPr>
          <w:rFonts w:cs="Arial"/>
          <w:i/>
        </w:rPr>
      </w:pPr>
      <w:r w:rsidRPr="00965A60">
        <w:rPr>
          <w:rFonts w:cs="Arial"/>
          <w:b/>
        </w:rPr>
        <w:t>Objetivo Estratégico No. 6</w:t>
      </w:r>
      <w:r w:rsidRPr="00104A77">
        <w:rPr>
          <w:rFonts w:cs="Arial"/>
          <w:b/>
        </w:rPr>
        <w:t>:</w:t>
      </w:r>
      <w:r w:rsidRPr="00965A60">
        <w:rPr>
          <w:rFonts w:cs="Arial"/>
          <w:b/>
        </w:rPr>
        <w:tab/>
      </w:r>
      <w:r w:rsidRPr="00965A60">
        <w:rPr>
          <w:rFonts w:cs="Arial"/>
          <w:i/>
        </w:rPr>
        <w:t>Fortalecer la cooperación y participación de todos los sectores de la población para la gobernanza de la diversidad biológica</w:t>
      </w:r>
    </w:p>
    <w:p w14:paraId="461D353A" w14:textId="77777777" w:rsidR="005A746C" w:rsidRPr="00965A60" w:rsidRDefault="005A746C" w:rsidP="00430EC5">
      <w:pPr>
        <w:rPr>
          <w:rFonts w:cs="Arial"/>
        </w:rPr>
      </w:pPr>
      <w:r w:rsidRPr="00965A60">
        <w:rPr>
          <w:rFonts w:cs="Arial"/>
        </w:rPr>
        <w:t>Meta No. 13.</w:t>
      </w:r>
      <w:r w:rsidRPr="00965A60">
        <w:rPr>
          <w:rFonts w:cs="Arial"/>
        </w:rPr>
        <w:tab/>
        <w:t>Al 2021 se ha fortalecido la gobernanza descentralizada de la diversidad biológica bajo un enfoque participativo, intercultural, de género y de inclusión social, en articulación con los niveles de gobierno nacional, regional y local, en el marco de los tratados internacionales.</w:t>
      </w:r>
    </w:p>
    <w:p w14:paraId="698FBAE6" w14:textId="77777777" w:rsidR="005A746C" w:rsidRPr="00965A60" w:rsidRDefault="005A746C" w:rsidP="00430EC5">
      <w:pPr>
        <w:rPr>
          <w:rFonts w:cs="Arial"/>
        </w:rPr>
      </w:pPr>
      <w:r w:rsidRPr="00965A60">
        <w:rPr>
          <w:rFonts w:cs="Arial"/>
        </w:rPr>
        <w:t>Actividades para el periodo 2014-2018:</w:t>
      </w:r>
    </w:p>
    <w:p w14:paraId="4A01F8AC" w14:textId="77777777" w:rsidR="005A746C" w:rsidRPr="00965A60" w:rsidRDefault="005A746C" w:rsidP="00430EC5">
      <w:pPr>
        <w:rPr>
          <w:rFonts w:cs="Arial"/>
        </w:rPr>
      </w:pPr>
      <w:r w:rsidRPr="00965A60">
        <w:rPr>
          <w:rFonts w:cs="Arial"/>
        </w:rPr>
        <w:lastRenderedPageBreak/>
        <w:t>138.</w:t>
      </w:r>
      <w:r w:rsidRPr="00965A60">
        <w:rPr>
          <w:rFonts w:cs="Arial"/>
        </w:rPr>
        <w:tab/>
        <w:t xml:space="preserve">A finales del segundo semestre del 2015 se han fortalecido los espacios de participación ciudadana existentes (CONADIB, Comisiones Ambientales Regionales, Comisiones Ambientales Locales, Comités de Gestión de ANP, Comités de Gestión de Bosques, etc.) y en particular, aquellos en los que participan representantes de pueblos indígenas, a fin de planificar y ejecutar con todos los actores involucrados en la toma de decisiones vinculadas con la gestión de la diversidad biológica. </w:t>
      </w:r>
    </w:p>
    <w:p w14:paraId="48ADC6A2" w14:textId="77777777" w:rsidR="005A746C" w:rsidRPr="00965A60" w:rsidRDefault="005A746C" w:rsidP="00430EC5">
      <w:pPr>
        <w:rPr>
          <w:rFonts w:cs="Arial"/>
        </w:rPr>
      </w:pPr>
      <w:r w:rsidRPr="00965A60">
        <w:rPr>
          <w:rFonts w:cs="Arial"/>
        </w:rPr>
        <w:t>140.</w:t>
      </w:r>
      <w:r w:rsidRPr="00965A60">
        <w:rPr>
          <w:rFonts w:cs="Arial"/>
        </w:rPr>
        <w:tab/>
        <w:t xml:space="preserve">A finales del primer semestre del 2016, se han promovido cinco iniciativas exitosas de gobernanza participativa, con especial énfasis en el manejo local o comunitario de la biodiversidad, con la participación de los pueblos indígenas. </w:t>
      </w:r>
    </w:p>
    <w:p w14:paraId="4DAA211F" w14:textId="77777777" w:rsidR="005A746C" w:rsidRPr="00965A60" w:rsidRDefault="005A746C" w:rsidP="00430EC5">
      <w:pPr>
        <w:rPr>
          <w:rFonts w:cs="Arial"/>
        </w:rPr>
      </w:pPr>
      <w:r w:rsidRPr="00965A60">
        <w:rPr>
          <w:rFonts w:cs="Arial"/>
        </w:rPr>
        <w:t>141.</w:t>
      </w:r>
      <w:r w:rsidRPr="00965A60">
        <w:rPr>
          <w:rFonts w:cs="Arial"/>
        </w:rPr>
        <w:tab/>
        <w:t>A finales del segundo semestre del 2016 se cuentan con incentivos (en el marco del Convenio sobre la Diversidad Biológica) y se han reconocido las mejores prácticas de gestión pública que fomentan la participación ciudadana a nivel nacional, regional o local, en la conservación de la biodiversidad. Estos incentivos y reconocimientos se ejecutan anualmente.</w:t>
      </w:r>
    </w:p>
    <w:p w14:paraId="12C58E29" w14:textId="77777777" w:rsidR="005A746C" w:rsidRPr="00965A60" w:rsidRDefault="005A746C" w:rsidP="00430EC5">
      <w:pPr>
        <w:rPr>
          <w:rFonts w:cs="Arial"/>
        </w:rPr>
      </w:pPr>
      <w:r w:rsidRPr="00965A60">
        <w:rPr>
          <w:rFonts w:cs="Arial"/>
        </w:rPr>
        <w:t>142.</w:t>
      </w:r>
      <w:r w:rsidRPr="00965A60">
        <w:rPr>
          <w:rFonts w:cs="Arial"/>
        </w:rPr>
        <w:tab/>
        <w:t xml:space="preserve">A finales del segundo semestre del 2016 se han generado y fortalecido, al menos, cuatro alianzas público-privadas, que cuenten con participación de los pueblos indígenas o población local, con el propósito estratégico de impulsar la conservación y puesta en valor de la biodiversidad. </w:t>
      </w:r>
    </w:p>
    <w:p w14:paraId="3FEB83F3" w14:textId="77777777" w:rsidR="005A746C" w:rsidRPr="00965A60" w:rsidRDefault="005A746C" w:rsidP="00430EC5">
      <w:pPr>
        <w:rPr>
          <w:rFonts w:cs="Arial"/>
        </w:rPr>
      </w:pPr>
      <w:r w:rsidRPr="00965A60">
        <w:rPr>
          <w:rFonts w:cs="Arial"/>
        </w:rPr>
        <w:t>146.</w:t>
      </w:r>
      <w:r w:rsidRPr="00965A60">
        <w:rPr>
          <w:rFonts w:cs="Arial"/>
        </w:rPr>
        <w:tab/>
        <w:t>A finales del segundo semestre del 2017 diez gobiernos regionales o locales han generado capacidades mediante asistencia técnica a las organizaciones sociales e indígenas, y han prestado apoyo técnico al menos a un proyecto piloto de gestión local de biodiversidad, priorizando las impulsadas por pueblos indígenas y poblaciones locales.</w:t>
      </w:r>
    </w:p>
    <w:p w14:paraId="4931DEF0" w14:textId="77777777" w:rsidR="005A746C" w:rsidRPr="00965A60" w:rsidRDefault="005A746C" w:rsidP="00430EC5">
      <w:pPr>
        <w:rPr>
          <w:rFonts w:cs="Arial"/>
        </w:rPr>
      </w:pPr>
    </w:p>
    <w:p w14:paraId="194278FA" w14:textId="14ECDC68" w:rsidR="005A746C" w:rsidRPr="005A746C" w:rsidRDefault="005A746C" w:rsidP="00430EC5">
      <w:pPr>
        <w:pStyle w:val="Ttulo3"/>
        <w:rPr>
          <w:rFonts w:ascii="Arial" w:hAnsi="Arial" w:cs="Arial"/>
        </w:rPr>
      </w:pPr>
      <w:r w:rsidRPr="005A746C">
        <w:rPr>
          <w:rFonts w:ascii="Arial" w:hAnsi="Arial" w:cs="Arial"/>
        </w:rPr>
        <w:t xml:space="preserve">Plan Nacional de Desarrollo Acuícola </w:t>
      </w:r>
    </w:p>
    <w:p w14:paraId="2627D5DB" w14:textId="77777777" w:rsidR="005A746C" w:rsidRPr="00965A60" w:rsidRDefault="005A746C" w:rsidP="00430EC5">
      <w:pPr>
        <w:tabs>
          <w:tab w:val="left" w:pos="2948"/>
        </w:tabs>
        <w:rPr>
          <w:rFonts w:cs="Arial"/>
        </w:rPr>
      </w:pPr>
      <w:r w:rsidRPr="00965A60">
        <w:rPr>
          <w:rFonts w:cs="Arial"/>
        </w:rPr>
        <w:t>Siendo el Ministerio de Producción el órgano con competencia exclusiva en materia de ordenamiento pesquero, este documento se considera como política de este ministerio para el desarrollo sostenible de la acuicultura.</w:t>
      </w:r>
    </w:p>
    <w:p w14:paraId="6143ED87" w14:textId="77777777" w:rsidR="005A746C" w:rsidRPr="00965A60" w:rsidRDefault="005A746C" w:rsidP="00430EC5">
      <w:pPr>
        <w:tabs>
          <w:tab w:val="left" w:pos="2948"/>
        </w:tabs>
        <w:rPr>
          <w:rFonts w:cs="Arial"/>
        </w:rPr>
      </w:pPr>
      <w:r w:rsidRPr="00965A60">
        <w:rPr>
          <w:rFonts w:cs="Arial"/>
        </w:rPr>
        <w:t>El propósito de este documento es apoyar y guiar el proceso de desarrollo de la acuicultura, a través de la movilización de recursos financieros del sector público (gobierno central, gobiernos regionales), el sector privado y la cooperación internacional; el desarrollo de recursos humanos y un mejoramiento del desempeño de las instituciones encargadas de promover y fomentar la acuicultura en el Perú.</w:t>
      </w:r>
    </w:p>
    <w:p w14:paraId="05FC2C03" w14:textId="77777777" w:rsidR="005A746C" w:rsidRPr="00965A60" w:rsidRDefault="005A746C" w:rsidP="00430EC5">
      <w:pPr>
        <w:tabs>
          <w:tab w:val="left" w:pos="2948"/>
        </w:tabs>
        <w:rPr>
          <w:rFonts w:cs="Arial"/>
        </w:rPr>
      </w:pPr>
      <w:r w:rsidRPr="00965A60">
        <w:rPr>
          <w:rFonts w:cs="Arial"/>
        </w:rPr>
        <w:t>Internacionalmente, la producción acuícola ha experimentado un crecimiento sostenido mayor de lo que muestran los otros sectores de producción de productos de origen animal.</w:t>
      </w:r>
    </w:p>
    <w:p w14:paraId="36312C02" w14:textId="77777777" w:rsidR="005A746C" w:rsidRPr="00965A60" w:rsidRDefault="005A746C" w:rsidP="00430EC5">
      <w:pPr>
        <w:tabs>
          <w:tab w:val="left" w:pos="2948"/>
        </w:tabs>
        <w:rPr>
          <w:rFonts w:cs="Arial"/>
        </w:rPr>
      </w:pPr>
      <w:r w:rsidRPr="00965A60">
        <w:rPr>
          <w:rFonts w:cs="Arial"/>
        </w:rPr>
        <w:lastRenderedPageBreak/>
        <w:t>El Perú tiene un gran potencial acuícola en el ámbito marino. En la actualidad La acuicultura marina en el Perú se encuentra orientada a la producción de langostino (</w:t>
      </w:r>
      <w:proofErr w:type="spellStart"/>
      <w:r w:rsidRPr="00965A60">
        <w:rPr>
          <w:rFonts w:cs="Arial"/>
          <w:i/>
        </w:rPr>
        <w:t>Litopenaneus</w:t>
      </w:r>
      <w:proofErr w:type="spellEnd"/>
      <w:r w:rsidRPr="00965A60">
        <w:rPr>
          <w:rFonts w:cs="Arial"/>
          <w:i/>
        </w:rPr>
        <w:t xml:space="preserve"> </w:t>
      </w:r>
      <w:proofErr w:type="spellStart"/>
      <w:r w:rsidRPr="00965A60">
        <w:rPr>
          <w:rFonts w:cs="Arial"/>
          <w:i/>
        </w:rPr>
        <w:t>vannamei</w:t>
      </w:r>
      <w:proofErr w:type="spellEnd"/>
      <w:r w:rsidRPr="00965A60">
        <w:rPr>
          <w:rFonts w:cs="Arial"/>
        </w:rPr>
        <w:t>)  en Tumbes y Piura, y la concha de abanico (</w:t>
      </w:r>
      <w:proofErr w:type="spellStart"/>
      <w:r w:rsidRPr="00965A60">
        <w:rPr>
          <w:rFonts w:cs="Arial"/>
          <w:i/>
        </w:rPr>
        <w:t>Argopecten</w:t>
      </w:r>
      <w:proofErr w:type="spellEnd"/>
      <w:r w:rsidRPr="00965A60">
        <w:rPr>
          <w:rFonts w:cs="Arial"/>
          <w:i/>
        </w:rPr>
        <w:t xml:space="preserve"> </w:t>
      </w:r>
      <w:proofErr w:type="spellStart"/>
      <w:r w:rsidRPr="00965A60">
        <w:rPr>
          <w:rFonts w:cs="Arial"/>
          <w:i/>
        </w:rPr>
        <w:t>purpuratus</w:t>
      </w:r>
      <w:proofErr w:type="spellEnd"/>
      <w:r w:rsidRPr="00965A60">
        <w:rPr>
          <w:rFonts w:cs="Arial"/>
        </w:rPr>
        <w:t>) en Ancash, Ica, Lima y Piura, pero recursos como el atún de aleta amarilla (</w:t>
      </w:r>
      <w:proofErr w:type="spellStart"/>
      <w:r w:rsidRPr="00965A60">
        <w:rPr>
          <w:rFonts w:cs="Arial"/>
          <w:i/>
        </w:rPr>
        <w:t>Thunnus</w:t>
      </w:r>
      <w:proofErr w:type="spellEnd"/>
      <w:r w:rsidRPr="00965A60">
        <w:rPr>
          <w:rFonts w:cs="Arial"/>
          <w:i/>
        </w:rPr>
        <w:t xml:space="preserve"> </w:t>
      </w:r>
      <w:proofErr w:type="spellStart"/>
      <w:r w:rsidRPr="00965A60">
        <w:rPr>
          <w:rFonts w:cs="Arial"/>
          <w:i/>
        </w:rPr>
        <w:t>albacares</w:t>
      </w:r>
      <w:proofErr w:type="spellEnd"/>
      <w:r w:rsidRPr="00965A60">
        <w:rPr>
          <w:rFonts w:cs="Arial"/>
        </w:rPr>
        <w:t>), el barrilete (</w:t>
      </w:r>
      <w:proofErr w:type="spellStart"/>
      <w:r w:rsidRPr="00965A60">
        <w:rPr>
          <w:rFonts w:cs="Arial"/>
          <w:i/>
        </w:rPr>
        <w:t>Katsuwonus</w:t>
      </w:r>
      <w:proofErr w:type="spellEnd"/>
      <w:r w:rsidRPr="00965A60">
        <w:rPr>
          <w:rFonts w:cs="Arial"/>
          <w:i/>
        </w:rPr>
        <w:t xml:space="preserve"> </w:t>
      </w:r>
      <w:proofErr w:type="spellStart"/>
      <w:r w:rsidRPr="00965A60">
        <w:rPr>
          <w:rFonts w:cs="Arial"/>
          <w:i/>
        </w:rPr>
        <w:t>pelamis</w:t>
      </w:r>
      <w:proofErr w:type="spellEnd"/>
      <w:r w:rsidRPr="00965A60">
        <w:rPr>
          <w:rFonts w:cs="Arial"/>
        </w:rPr>
        <w:t>), la corvina (</w:t>
      </w:r>
      <w:proofErr w:type="spellStart"/>
      <w:r w:rsidRPr="00965A60">
        <w:rPr>
          <w:rFonts w:cs="Arial"/>
          <w:i/>
        </w:rPr>
        <w:t>Cilus</w:t>
      </w:r>
      <w:proofErr w:type="spellEnd"/>
      <w:r w:rsidRPr="00965A60">
        <w:rPr>
          <w:rFonts w:cs="Arial"/>
          <w:i/>
        </w:rPr>
        <w:t xml:space="preserve"> </w:t>
      </w:r>
      <w:proofErr w:type="spellStart"/>
      <w:r w:rsidRPr="00965A60">
        <w:rPr>
          <w:rFonts w:cs="Arial"/>
          <w:i/>
        </w:rPr>
        <w:t>gilberti</w:t>
      </w:r>
      <w:proofErr w:type="spellEnd"/>
      <w:r w:rsidRPr="00965A60">
        <w:rPr>
          <w:rFonts w:cs="Arial"/>
        </w:rPr>
        <w:t>), cabrilla (</w:t>
      </w:r>
      <w:proofErr w:type="spellStart"/>
      <w:r w:rsidRPr="00965A60">
        <w:rPr>
          <w:rFonts w:cs="Arial"/>
          <w:i/>
        </w:rPr>
        <w:t>Paralabrax</w:t>
      </w:r>
      <w:proofErr w:type="spellEnd"/>
      <w:r w:rsidRPr="00965A60">
        <w:rPr>
          <w:rFonts w:cs="Arial"/>
          <w:i/>
        </w:rPr>
        <w:t xml:space="preserve"> </w:t>
      </w:r>
      <w:proofErr w:type="spellStart"/>
      <w:r w:rsidRPr="00965A60">
        <w:rPr>
          <w:rFonts w:cs="Arial"/>
          <w:i/>
        </w:rPr>
        <w:t>humeralis</w:t>
      </w:r>
      <w:proofErr w:type="spellEnd"/>
      <w:r w:rsidRPr="00965A60">
        <w:rPr>
          <w:rFonts w:cs="Arial"/>
        </w:rPr>
        <w:t>), chita (</w:t>
      </w:r>
      <w:proofErr w:type="spellStart"/>
      <w:r w:rsidRPr="00965A60">
        <w:rPr>
          <w:rFonts w:cs="Arial"/>
          <w:i/>
        </w:rPr>
        <w:t>Anisotremus</w:t>
      </w:r>
      <w:proofErr w:type="spellEnd"/>
      <w:r w:rsidRPr="00965A60">
        <w:rPr>
          <w:rFonts w:cs="Arial"/>
          <w:i/>
        </w:rPr>
        <w:t xml:space="preserve"> </w:t>
      </w:r>
      <w:proofErr w:type="spellStart"/>
      <w:r w:rsidRPr="00965A60">
        <w:rPr>
          <w:rFonts w:cs="Arial"/>
          <w:i/>
        </w:rPr>
        <w:t>scapularis</w:t>
      </w:r>
      <w:proofErr w:type="spellEnd"/>
      <w:r w:rsidRPr="00965A60">
        <w:rPr>
          <w:rFonts w:cs="Arial"/>
        </w:rPr>
        <w:t>) y el lenguado (</w:t>
      </w:r>
      <w:proofErr w:type="spellStart"/>
      <w:r w:rsidRPr="00965A60">
        <w:rPr>
          <w:rFonts w:cs="Arial"/>
          <w:i/>
        </w:rPr>
        <w:t>Paralichthys</w:t>
      </w:r>
      <w:proofErr w:type="spellEnd"/>
      <w:r w:rsidRPr="00965A60">
        <w:rPr>
          <w:rFonts w:cs="Arial"/>
          <w:i/>
        </w:rPr>
        <w:t xml:space="preserve"> </w:t>
      </w:r>
      <w:proofErr w:type="spellStart"/>
      <w:r w:rsidRPr="00965A60">
        <w:rPr>
          <w:rFonts w:cs="Arial"/>
          <w:i/>
        </w:rPr>
        <w:t>adspersus</w:t>
      </w:r>
      <w:proofErr w:type="spellEnd"/>
      <w:r w:rsidRPr="00965A60">
        <w:rPr>
          <w:rFonts w:cs="Arial"/>
        </w:rPr>
        <w:t xml:space="preserve">) tienen posibilidad de ser producidos de esta manera. Adicionalmente, existe un gran potencial para desarrollar el cultivo de </w:t>
      </w:r>
      <w:proofErr w:type="spellStart"/>
      <w:r w:rsidRPr="00965A60">
        <w:rPr>
          <w:rFonts w:cs="Arial"/>
        </w:rPr>
        <w:t>macroalgas</w:t>
      </w:r>
      <w:proofErr w:type="spellEnd"/>
      <w:r w:rsidRPr="00965A60">
        <w:rPr>
          <w:rFonts w:cs="Arial"/>
        </w:rPr>
        <w:t>. En el medio marino existen 18 mil hectáreas utilizadas para este fin, existiendo en total 44 mil hectáreas habilitadas para el desarrollo de estas actividades.</w:t>
      </w:r>
    </w:p>
    <w:p w14:paraId="1772160E" w14:textId="77777777" w:rsidR="005A746C" w:rsidRPr="00965A60" w:rsidRDefault="005A746C" w:rsidP="00430EC5">
      <w:pPr>
        <w:tabs>
          <w:tab w:val="left" w:pos="2948"/>
        </w:tabs>
        <w:rPr>
          <w:rFonts w:cs="Arial"/>
        </w:rPr>
      </w:pPr>
      <w:r w:rsidRPr="00965A60">
        <w:rPr>
          <w:rFonts w:cs="Arial"/>
        </w:rPr>
        <w:t xml:space="preserve">La acuicultura tiene como base la existencia de especies con esta potencialidad en el medio natural y la captación de semillas del ambiente natural para el desarrollo de esta actividad, ambos servicios </w:t>
      </w:r>
      <w:proofErr w:type="spellStart"/>
      <w:r w:rsidRPr="00965A60">
        <w:rPr>
          <w:rFonts w:cs="Arial"/>
        </w:rPr>
        <w:t>ecosistémicos</w:t>
      </w:r>
      <w:proofErr w:type="spellEnd"/>
      <w:r w:rsidRPr="00965A60">
        <w:rPr>
          <w:rFonts w:cs="Arial"/>
        </w:rPr>
        <w:t xml:space="preserve"> no valorizados en la actualidad.</w:t>
      </w:r>
    </w:p>
    <w:p w14:paraId="0EC4DBF3" w14:textId="77777777" w:rsidR="005A746C" w:rsidRPr="00965A60" w:rsidRDefault="005A746C" w:rsidP="00430EC5">
      <w:pPr>
        <w:tabs>
          <w:tab w:val="left" w:pos="2948"/>
        </w:tabs>
        <w:rPr>
          <w:rFonts w:cs="Arial"/>
        </w:rPr>
      </w:pPr>
      <w:r w:rsidRPr="00965A60">
        <w:rPr>
          <w:rFonts w:cs="Arial"/>
        </w:rPr>
        <w:t>El desarrollo futuro de la acuicultura peruana va a depender principalmente de la posibilidad de absorción de la producción por parte del mercado interno y externo. Los productos pesqueros gozan de una demanda creciente en el mundo y ante la imposibilidad de incrementar las capturas, esa demanda solo puede ser cubierta por productos de la acuicultura. En consecuencia, existe un margen amplio para la colocación en el mercado externo de la producción de la acuicultura peruana que no sea absorbida por su mercado interno.</w:t>
      </w:r>
    </w:p>
    <w:p w14:paraId="3136A9FB" w14:textId="77777777" w:rsidR="005A746C" w:rsidRPr="00965A60" w:rsidRDefault="005A746C" w:rsidP="00430EC5">
      <w:pPr>
        <w:tabs>
          <w:tab w:val="left" w:pos="2948"/>
        </w:tabs>
        <w:rPr>
          <w:rFonts w:cs="Arial"/>
        </w:rPr>
      </w:pPr>
      <w:r w:rsidRPr="00965A60">
        <w:rPr>
          <w:rFonts w:cs="Arial"/>
        </w:rPr>
        <w:t>Un supuesto externo para el existo del desarrollo acuícola es la ausencia de fenómenos naturales que alteren negativamente el régimen climático o causen desastres y la ausencia de epizootias no previsibles que afectan la producción y/o la confianza de inversores o consumidores.</w:t>
      </w:r>
    </w:p>
    <w:p w14:paraId="1923DE93" w14:textId="77777777" w:rsidR="005A746C" w:rsidRPr="00965A60" w:rsidRDefault="005A746C" w:rsidP="00430EC5">
      <w:pPr>
        <w:tabs>
          <w:tab w:val="left" w:pos="2948"/>
        </w:tabs>
        <w:rPr>
          <w:rFonts w:cs="Arial"/>
        </w:rPr>
      </w:pPr>
      <w:r w:rsidRPr="00965A60">
        <w:rPr>
          <w:rFonts w:cs="Arial"/>
        </w:rPr>
        <w:t xml:space="preserve">Es fundamental promover la investigación y desarrollo, la adaptación y transferencia tecnológica en materia de acuicultura. Este objetivo está orientado a que los esfuerzos de investigación se encaminen de manera prioritaria hacia especies tanto nativas como exóticas que hayan demostrado una rentabilidad económica y sean ambiental y competitivamente adaptables a las condiciones del país. </w:t>
      </w:r>
    </w:p>
    <w:p w14:paraId="101E5F75" w14:textId="77777777" w:rsidR="005A746C" w:rsidRPr="00965A60" w:rsidRDefault="005A746C" w:rsidP="00430EC5">
      <w:pPr>
        <w:tabs>
          <w:tab w:val="left" w:pos="2948"/>
        </w:tabs>
        <w:rPr>
          <w:rFonts w:cs="Arial"/>
        </w:rPr>
      </w:pPr>
      <w:r w:rsidRPr="00965A60">
        <w:rPr>
          <w:rFonts w:cs="Arial"/>
        </w:rPr>
        <w:t xml:space="preserve">Finalmente, el sector acuícola debe aplicar medidas de producción sostenibles, tales como el uso de Buenas Prácticas Acuícolas, el fortalecimiento de las instituciones, el uso de esquemas de desarrollo y gestión locales, certificaciones sanitarias, producción de productos inocuos, bioseguridad, protocolos de vacunaciones, trazabilidad y la aplicación del principio precautorio para minimizar posibles impactos ambientales y cambios irreversibles en el ecosistema y la aplicación del enfoque </w:t>
      </w:r>
      <w:proofErr w:type="spellStart"/>
      <w:r w:rsidRPr="00965A60">
        <w:rPr>
          <w:rFonts w:cs="Arial"/>
        </w:rPr>
        <w:t>ecosistémico</w:t>
      </w:r>
      <w:proofErr w:type="spellEnd"/>
      <w:r w:rsidRPr="00965A60">
        <w:rPr>
          <w:rFonts w:cs="Arial"/>
        </w:rPr>
        <w:t xml:space="preserve"> para la acuicultura (EEA) a fin de promover que la acuicultura genere crecimiento económico y simultáneamente contribuya a la equidad en el acceso a sus beneficios, sin dañar significativamente el ambiente donde ella se realiza ni generar impactos negativos en las sociedades locales.</w:t>
      </w:r>
    </w:p>
    <w:p w14:paraId="7840CBDD" w14:textId="3D86C18B" w:rsidR="005A746C" w:rsidRPr="005A746C" w:rsidRDefault="005A746C" w:rsidP="00430EC5">
      <w:pPr>
        <w:pStyle w:val="Ttulo3"/>
        <w:rPr>
          <w:rFonts w:ascii="Arial" w:hAnsi="Arial" w:cs="Arial"/>
        </w:rPr>
      </w:pPr>
      <w:r w:rsidRPr="005A746C">
        <w:rPr>
          <w:rFonts w:ascii="Arial" w:hAnsi="Arial" w:cs="Arial"/>
        </w:rPr>
        <w:lastRenderedPageBreak/>
        <w:t>Legislación sobre Áreas Naturales Protegidas y Reservas Nacionales</w:t>
      </w:r>
    </w:p>
    <w:p w14:paraId="68D9DE9C" w14:textId="77777777" w:rsidR="005A746C" w:rsidRPr="00965A60" w:rsidRDefault="005A746C" w:rsidP="00430EC5">
      <w:pPr>
        <w:rPr>
          <w:rFonts w:cs="Arial"/>
        </w:rPr>
      </w:pPr>
      <w:r w:rsidRPr="00965A60">
        <w:rPr>
          <w:rFonts w:cs="Arial"/>
        </w:rPr>
        <w:t>En la Ley Orgánica para el Aprovechamiento Sostenible de los Recursos Naturales (Ley N° 26821 26 de junio de 1997) se menciona que: “</w:t>
      </w:r>
      <w:r w:rsidRPr="00965A60">
        <w:rPr>
          <w:rFonts w:cs="Arial"/>
          <w:i/>
        </w:rPr>
        <w:t>Es obligación del Estado fomentar la conservación de áreas naturales que cuentan con importante diversidad biológica, paisajes y otros componentes del patrimonio natural de la Nación, en forma de Áreas Naturales Protegidas (ANP) en cuyo ámbito el aprovechamiento sostenible de los recursos naturales estará sujeto a normatividad especial</w:t>
      </w:r>
      <w:r w:rsidRPr="00965A60">
        <w:rPr>
          <w:rFonts w:cs="Arial"/>
        </w:rPr>
        <w:t xml:space="preserve">”. </w:t>
      </w:r>
    </w:p>
    <w:p w14:paraId="093DF425" w14:textId="77777777" w:rsidR="005A746C" w:rsidRPr="00965A60" w:rsidRDefault="005A746C" w:rsidP="00430EC5">
      <w:pPr>
        <w:rPr>
          <w:rFonts w:cs="Arial"/>
        </w:rPr>
      </w:pPr>
      <w:r w:rsidRPr="00965A60">
        <w:rPr>
          <w:rFonts w:cs="Arial"/>
        </w:rPr>
        <w:t xml:space="preserve">Las </w:t>
      </w:r>
      <w:proofErr w:type="spellStart"/>
      <w:r w:rsidRPr="00965A60">
        <w:rPr>
          <w:rFonts w:cs="Arial"/>
        </w:rPr>
        <w:t>ANPs</w:t>
      </w:r>
      <w:proofErr w:type="spellEnd"/>
      <w:r w:rsidRPr="00965A60">
        <w:rPr>
          <w:rFonts w:cs="Arial"/>
        </w:rPr>
        <w:t xml:space="preserve"> son espacios continentales y/o marinos del territorio nacional de importancia para la conservación de los recursos naturales, mantención de la diversidad biológica y desarrollo sostenible del país, por lo cual reciben protección legal del Estado y deben ser mantenidas a perpetuidad (Ley General del Ambiente Ley No. 28611 y Ley de Áreas Naturales Protegidas Ley No. 26834).</w:t>
      </w:r>
    </w:p>
    <w:p w14:paraId="28CBF161" w14:textId="77777777" w:rsidR="005A746C" w:rsidRPr="00965A60" w:rsidRDefault="005A746C" w:rsidP="00430EC5">
      <w:pPr>
        <w:rPr>
          <w:rFonts w:cs="Arial"/>
        </w:rPr>
      </w:pPr>
      <w:r w:rsidRPr="00965A60">
        <w:rPr>
          <w:rFonts w:cs="Arial"/>
        </w:rPr>
        <w:t xml:space="preserve">El MINAM es el administrador de los bienes y servicios ambientales dentro de las </w:t>
      </w:r>
      <w:proofErr w:type="spellStart"/>
      <w:r w:rsidRPr="00965A60">
        <w:rPr>
          <w:rFonts w:cs="Arial"/>
        </w:rPr>
        <w:t>ANPs</w:t>
      </w:r>
      <w:proofErr w:type="spellEnd"/>
      <w:r w:rsidRPr="00965A60">
        <w:rPr>
          <w:rFonts w:cs="Arial"/>
        </w:rPr>
        <w:t>, siendo su deber promover la participación ciudadana, la ciencia e innovación tecnológica y la educación en temas relacionados a los recursos nacionales y su aprovechamiento sostenible. El Servicio Nacional de Áreas Naturales Protegidas por el Estado (SERNANP) es el órgano encargado de dirigir y asegurar el funcionamiento del Sistema Nacional de Áreas Naturales Protegidas por el Estado (SINANPE)</w:t>
      </w:r>
    </w:p>
    <w:p w14:paraId="32F7EA16" w14:textId="19E474F3" w:rsidR="005A746C" w:rsidRPr="005A746C" w:rsidRDefault="005A746C" w:rsidP="00430EC5">
      <w:pPr>
        <w:pStyle w:val="Ttulo3"/>
        <w:rPr>
          <w:rFonts w:ascii="Arial" w:hAnsi="Arial" w:cs="Arial"/>
        </w:rPr>
      </w:pPr>
      <w:r w:rsidRPr="005A746C">
        <w:rPr>
          <w:rFonts w:ascii="Arial" w:hAnsi="Arial" w:cs="Arial"/>
        </w:rPr>
        <w:t xml:space="preserve">Herramientas de Gestión de </w:t>
      </w:r>
      <w:proofErr w:type="spellStart"/>
      <w:r w:rsidRPr="005A746C">
        <w:rPr>
          <w:rFonts w:ascii="Arial" w:hAnsi="Arial" w:cs="Arial"/>
        </w:rPr>
        <w:t>ANPs</w:t>
      </w:r>
      <w:proofErr w:type="spellEnd"/>
    </w:p>
    <w:p w14:paraId="6BDC0B48" w14:textId="77777777" w:rsidR="005A746C" w:rsidRPr="00965A60" w:rsidRDefault="005A746C" w:rsidP="00430EC5">
      <w:pPr>
        <w:rPr>
          <w:rFonts w:cs="Arial"/>
        </w:rPr>
      </w:pPr>
      <w:r w:rsidRPr="00965A60">
        <w:rPr>
          <w:rFonts w:cs="Arial"/>
        </w:rPr>
        <w:t>El artículo 18 de la ley de Áreas Naturales Protegidas (Ley No. 26834) dispone: “Las Áreas Naturales Protegidas y el SINANPE contarán con documentos de planificación de carácter general y específicos por tipo de recurso y actividad, aprobados por el INRENA con participación de los sectores competentes correspondientes. Los Planes, una vez aprobados por la Autoridad Nacional Competente, constituyen normas de observancia obligatoria para cualquier actividad que se desarrolle dentro de las áreas”.</w:t>
      </w:r>
    </w:p>
    <w:p w14:paraId="73A9B952" w14:textId="77777777" w:rsidR="005A746C" w:rsidRPr="00965A60" w:rsidRDefault="005A746C" w:rsidP="00430EC5">
      <w:pPr>
        <w:rPr>
          <w:rFonts w:cs="Arial"/>
        </w:rPr>
      </w:pPr>
      <w:r w:rsidRPr="00965A60">
        <w:rPr>
          <w:rFonts w:cs="Arial"/>
        </w:rPr>
        <w:t>Dentro de estos documentos de gestión se incluyen el Plan Maestro, el Plan Operativo, el Plan de Uso Público, Plan de Uso Turístico, los Planes de Manejo de los recursos naturales, el Plan de Sitio y otros documentos dependiendo de los requerimientos específicos del área.</w:t>
      </w:r>
    </w:p>
    <w:p w14:paraId="51377BD8" w14:textId="77777777" w:rsidR="005A746C" w:rsidRPr="00965A60" w:rsidRDefault="005A746C" w:rsidP="00430EC5">
      <w:pPr>
        <w:rPr>
          <w:rFonts w:cs="Arial"/>
        </w:rPr>
      </w:pPr>
      <w:r w:rsidRPr="00965A60">
        <w:rPr>
          <w:rFonts w:cs="Arial"/>
        </w:rPr>
        <w:t xml:space="preserve">El artículo 20 de la Ley de Áreas Naturales Protegidas (Ley N° 26834 04 de julio de 1997) menciona que: </w:t>
      </w:r>
    </w:p>
    <w:p w14:paraId="5896ED73" w14:textId="77777777" w:rsidR="005A746C" w:rsidRPr="00965A60" w:rsidRDefault="005A746C" w:rsidP="00430EC5">
      <w:pPr>
        <w:rPr>
          <w:rFonts w:cs="Arial"/>
        </w:rPr>
      </w:pPr>
      <w:r w:rsidRPr="00965A60">
        <w:rPr>
          <w:rFonts w:cs="Arial"/>
        </w:rPr>
        <w:t>“El Plan Maestro constituye el documento de planificación de más alto nivel con que cuenta un Área Natural Protegida. Serán elaborados bajo procesos participativos, revisados cada 5 años y definirán, por lo menos:</w:t>
      </w:r>
    </w:p>
    <w:p w14:paraId="312048C4" w14:textId="77777777" w:rsidR="005A746C" w:rsidRPr="00104A77" w:rsidRDefault="005A746C" w:rsidP="00430EC5">
      <w:pPr>
        <w:pStyle w:val="Prrafodelista"/>
        <w:numPr>
          <w:ilvl w:val="0"/>
          <w:numId w:val="23"/>
        </w:numPr>
        <w:spacing w:after="240"/>
        <w:ind w:left="1428"/>
        <w:rPr>
          <w:rFonts w:cs="Arial"/>
        </w:rPr>
      </w:pPr>
      <w:r w:rsidRPr="00104A77">
        <w:rPr>
          <w:rFonts w:cs="Arial"/>
        </w:rPr>
        <w:t>La zonificación, estrategias y políticas generales para la gestión del área.</w:t>
      </w:r>
    </w:p>
    <w:p w14:paraId="3E9467F0" w14:textId="77777777" w:rsidR="005A746C" w:rsidRPr="00104A77" w:rsidRDefault="005A746C" w:rsidP="00430EC5">
      <w:pPr>
        <w:pStyle w:val="Prrafodelista"/>
        <w:numPr>
          <w:ilvl w:val="0"/>
          <w:numId w:val="23"/>
        </w:numPr>
        <w:spacing w:after="240"/>
        <w:ind w:left="1428"/>
        <w:rPr>
          <w:rFonts w:cs="Arial"/>
        </w:rPr>
      </w:pPr>
      <w:r w:rsidRPr="00104A77">
        <w:rPr>
          <w:rFonts w:cs="Arial"/>
        </w:rPr>
        <w:t>La organización, objetivos, planes específicos requeridos y programas de manejo.</w:t>
      </w:r>
    </w:p>
    <w:p w14:paraId="5E6428C5" w14:textId="77777777" w:rsidR="005A746C" w:rsidRPr="00104A77" w:rsidRDefault="005A746C" w:rsidP="00430EC5">
      <w:pPr>
        <w:pStyle w:val="Prrafodelista"/>
        <w:numPr>
          <w:ilvl w:val="0"/>
          <w:numId w:val="23"/>
        </w:numPr>
        <w:spacing w:after="240"/>
        <w:ind w:left="1428"/>
        <w:rPr>
          <w:rFonts w:cs="Arial"/>
        </w:rPr>
      </w:pPr>
      <w:r w:rsidRPr="00104A77">
        <w:rPr>
          <w:rFonts w:cs="Arial"/>
        </w:rPr>
        <w:lastRenderedPageBreak/>
        <w:t>Los marcos de cooperación, coordinación y participación relacionados al área y sus zonas de amortiguamiento”.</w:t>
      </w:r>
    </w:p>
    <w:p w14:paraId="437CEB74" w14:textId="77777777" w:rsidR="005A746C" w:rsidRPr="00965A60" w:rsidRDefault="005A746C" w:rsidP="00430EC5">
      <w:pPr>
        <w:rPr>
          <w:rFonts w:cs="Arial"/>
        </w:rPr>
      </w:pPr>
      <w:r w:rsidRPr="00965A60">
        <w:rPr>
          <w:rFonts w:cs="Arial"/>
        </w:rPr>
        <w:t>Adicionalmente, este documento debe incluir estrategias mediante las cuales se implementen los compromisos asumidos por el Estado Peruano en materia de conservación de la diversidad biológica y desarrollo humano.</w:t>
      </w:r>
    </w:p>
    <w:p w14:paraId="2A618B79" w14:textId="77777777" w:rsidR="005A746C" w:rsidRPr="00965A60" w:rsidRDefault="005A746C" w:rsidP="00430EC5">
      <w:pPr>
        <w:rPr>
          <w:rFonts w:cs="Arial"/>
        </w:rPr>
      </w:pPr>
      <w:r w:rsidRPr="00965A60">
        <w:rPr>
          <w:rFonts w:cs="Arial"/>
        </w:rPr>
        <w:t>Siendo un proceso participativo, la elaboración del Plan Maestro es liderado, de manera concertada con el Comité de Gestión, por el Jefe del Área Natural Protegida correspondiente, con la colaboración de los Gobiernos Regionales y Locales, los pobladores locales debidamente organizados, y las instituciones públicas y privadas vinculadas al Área Natural Protegida. Toda persona natural o jurídica individual o colectivamente, tienen el derecho y la oportunidad de manifestar sus intereses, demandas u opiniones, dentro del marco legal, no pudiendo ser excluido ningún actor que manifieste formalmente su interés en participar en el mencionado proceso.</w:t>
      </w:r>
    </w:p>
    <w:p w14:paraId="7B305B9F" w14:textId="77777777" w:rsidR="005A746C" w:rsidRPr="00965A60" w:rsidRDefault="005A746C" w:rsidP="00430EC5">
      <w:pPr>
        <w:rPr>
          <w:rFonts w:cs="Arial"/>
        </w:rPr>
      </w:pPr>
      <w:r w:rsidRPr="00965A60">
        <w:rPr>
          <w:rFonts w:cs="Arial"/>
        </w:rPr>
        <w:t>Si bien el Plan Maestro debe ser aprobado por la entidad pública competente, se pueden subscribir con</w:t>
      </w:r>
      <w:r>
        <w:rPr>
          <w:rFonts w:cs="Arial"/>
        </w:rPr>
        <w:t>tratos</w:t>
      </w:r>
      <w:r w:rsidRPr="00965A60">
        <w:rPr>
          <w:rFonts w:cs="Arial"/>
        </w:rPr>
        <w:t xml:space="preserve"> con entidades privadas</w:t>
      </w:r>
      <w:r>
        <w:rPr>
          <w:rFonts w:cs="Arial"/>
        </w:rPr>
        <w:t xml:space="preserve"> y convenios con entidades públicas</w:t>
      </w:r>
      <w:r w:rsidRPr="00965A60">
        <w:rPr>
          <w:rFonts w:cs="Arial"/>
        </w:rPr>
        <w:t xml:space="preserve"> a fin de facilitar el proceso de su elaboración. Estas entidades pueden participar en los concursos para la administración o gestión participativa del área.</w:t>
      </w:r>
    </w:p>
    <w:p w14:paraId="0937EB96" w14:textId="77777777" w:rsidR="005A746C" w:rsidRPr="00965A60" w:rsidRDefault="005A746C" w:rsidP="00430EC5">
      <w:pPr>
        <w:rPr>
          <w:rFonts w:cs="Arial"/>
        </w:rPr>
      </w:pPr>
      <w:r w:rsidRPr="00965A60">
        <w:rPr>
          <w:rFonts w:cs="Arial"/>
        </w:rPr>
        <w:t>Los Planes de Manejo de Recursos y otros planes específicos por actividades o por ámbitos, recogen la relación de las acciones orientadas a cumplir a cabalidad con los objetivos de creación del Área Natural Protegida. Son aprobados mediante Resolución Directoral de la Dirección General. Dichos planes pueden contener las acciones de protección, monitoreo, seguimiento, pautas de uso, registro de datos acerca de poblaciones, repoblamiento, reintroducción, traslado y saca de especies nativas, así como erradicación de especies exóticas; recuperación, regeneración y restauración del hábitat, evaluación del potencial económico, entre otras actividades. En todo caso estos planes deben elaborarse recogiendo los criterios establecidos en el Plan Director y el Plan Maestro respectivo.</w:t>
      </w:r>
    </w:p>
    <w:p w14:paraId="41558088" w14:textId="77777777" w:rsidR="005A746C" w:rsidRPr="00965A60" w:rsidRDefault="005A746C" w:rsidP="00430EC5">
      <w:pPr>
        <w:rPr>
          <w:rFonts w:cs="Arial"/>
        </w:rPr>
      </w:pPr>
      <w:r w:rsidRPr="00965A60">
        <w:rPr>
          <w:rFonts w:cs="Arial"/>
        </w:rPr>
        <w:t>Los Planes de Uso Público son instrumentos de planificación específicos, que se desarrollan siguiendo los lineamientos del Plan Maestro y, como parte integrante de éste, definen con mayor detalle los criterios, lineamientos, prioridades y límites del uso público del Área Natural Protegida. Son aprobados mediante Resolución Directoral de la Dirección General. De manera general, todo uso público de un determinado ámbito de un Área Natural Protegida debe contar con un Plan de Sitio. Este plan contiene la disposición exacta en el terreno de toda obra o instalación de uso común a efectuarse, las pautas para su diseño arquitectónico, las regulaciones sobre el flujo y actividades de los visitantes, así como la Capacidad Carga.</w:t>
      </w:r>
    </w:p>
    <w:p w14:paraId="0830AD3D" w14:textId="77777777" w:rsidR="005A746C" w:rsidRPr="00965A60" w:rsidRDefault="005A746C" w:rsidP="00430EC5">
      <w:pPr>
        <w:rPr>
          <w:rFonts w:cs="Arial"/>
        </w:rPr>
      </w:pPr>
      <w:r w:rsidRPr="00965A60">
        <w:rPr>
          <w:rFonts w:cs="Arial"/>
        </w:rPr>
        <w:t xml:space="preserve">Los Planes Operativos son instrumentos de planificación anuales para la gestión y desarrollo de las Áreas Naturales Protegidas, los cuales implementan las estrategias establecidas en el </w:t>
      </w:r>
      <w:r w:rsidRPr="00D7675F">
        <w:rPr>
          <w:rFonts w:cs="Arial"/>
        </w:rPr>
        <w:lastRenderedPageBreak/>
        <w:t>Plan Director</w:t>
      </w:r>
      <w:r w:rsidRPr="00965A60">
        <w:rPr>
          <w:rFonts w:cs="Arial"/>
        </w:rPr>
        <w:t xml:space="preserve"> y en el Plan Maestro a través de los programas respectivos, en concordancia con las políticas institucionales. Son aprobados mediante Resolución Directoral de la Dirección General.</w:t>
      </w:r>
    </w:p>
    <w:p w14:paraId="4E72A9BE" w14:textId="7766EDC9" w:rsidR="005A746C" w:rsidRPr="005A746C" w:rsidRDefault="005A746C" w:rsidP="00430EC5">
      <w:pPr>
        <w:pStyle w:val="Ttulo3"/>
        <w:rPr>
          <w:rFonts w:ascii="Arial" w:hAnsi="Arial" w:cs="Arial"/>
        </w:rPr>
      </w:pPr>
      <w:r w:rsidRPr="005A746C">
        <w:rPr>
          <w:rFonts w:ascii="Arial" w:hAnsi="Arial" w:cs="Arial"/>
        </w:rPr>
        <w:t xml:space="preserve">Zonificación de las </w:t>
      </w:r>
      <w:proofErr w:type="spellStart"/>
      <w:r w:rsidRPr="005A746C">
        <w:rPr>
          <w:rFonts w:ascii="Arial" w:hAnsi="Arial" w:cs="Arial"/>
        </w:rPr>
        <w:t>ANPs</w:t>
      </w:r>
      <w:proofErr w:type="spellEnd"/>
      <w:r w:rsidRPr="005A746C">
        <w:rPr>
          <w:rFonts w:ascii="Arial" w:hAnsi="Arial" w:cs="Arial"/>
        </w:rPr>
        <w:t xml:space="preserve"> y sus Áreas de Amortiguamiento</w:t>
      </w:r>
    </w:p>
    <w:p w14:paraId="1FE6BAC9" w14:textId="77777777" w:rsidR="005A746C" w:rsidRPr="00965A60" w:rsidRDefault="005A746C" w:rsidP="00430EC5">
      <w:pPr>
        <w:rPr>
          <w:rFonts w:cs="Arial"/>
        </w:rPr>
      </w:pPr>
      <w:r w:rsidRPr="00965A60">
        <w:rPr>
          <w:rFonts w:cs="Arial"/>
        </w:rPr>
        <w:t xml:space="preserve">Según los objetivos específicos de un ANP, el Estado le asigna una categoría de manejo específica. Las categorías de manejo contemplan una gradualidad en el aprovechamiento de recursos naturales de la zona que reflejan la finalidad del ANP y los usos y actividades humanas permitidas dentro de esta. </w:t>
      </w:r>
    </w:p>
    <w:p w14:paraId="719885E9" w14:textId="77777777" w:rsidR="005A746C" w:rsidRPr="00965A60" w:rsidRDefault="005A746C" w:rsidP="00430EC5">
      <w:pPr>
        <w:rPr>
          <w:rFonts w:cs="Arial"/>
        </w:rPr>
      </w:pPr>
      <w:r w:rsidRPr="00965A60">
        <w:rPr>
          <w:rFonts w:cs="Arial"/>
        </w:rPr>
        <w:t>Según el artículo 21 de la Ley de Áreas Naturales Protegidas (Ley No. 26834), las categorías de manejo incluyen:</w:t>
      </w:r>
    </w:p>
    <w:p w14:paraId="03563422" w14:textId="77777777" w:rsidR="005A746C" w:rsidRPr="00104A77" w:rsidRDefault="005A746C" w:rsidP="00430EC5">
      <w:pPr>
        <w:pStyle w:val="Prrafodelista"/>
        <w:numPr>
          <w:ilvl w:val="0"/>
          <w:numId w:val="24"/>
        </w:numPr>
        <w:spacing w:after="240"/>
        <w:rPr>
          <w:rFonts w:cs="Arial"/>
        </w:rPr>
      </w:pPr>
      <w:r w:rsidRPr="00104A77">
        <w:rPr>
          <w:rFonts w:cs="Arial"/>
        </w:rPr>
        <w:t>Áreas de uso indirecto. Son aquellas que permiten la investigación científica no manipulativa, la recreación y el turismo, en zonas apropiadamente designadas y manejadas para ello. En estas áreas no se permite la extracción de recursos naturales, así como modificaciones y transformaciones del ambiente natural. Son áreas de uso indirecto los Parques Nacionales, Santuarios Nacionales y los Santuarios Históricos.</w:t>
      </w:r>
    </w:p>
    <w:p w14:paraId="1D1AB2D4" w14:textId="77777777" w:rsidR="005A746C" w:rsidRPr="00104A77" w:rsidRDefault="005A746C" w:rsidP="00430EC5">
      <w:pPr>
        <w:pStyle w:val="Prrafodelista"/>
        <w:numPr>
          <w:ilvl w:val="0"/>
          <w:numId w:val="24"/>
        </w:numPr>
        <w:spacing w:after="240"/>
        <w:rPr>
          <w:rFonts w:cs="Arial"/>
        </w:rPr>
      </w:pPr>
      <w:r w:rsidRPr="00104A77">
        <w:rPr>
          <w:rFonts w:cs="Arial"/>
        </w:rPr>
        <w:t>Áreas de uso directo. Son aquellas que permiten el aprovechamiento o extracción de recursos, prioritariamente por las poblaciones locales, en aquellas zonas y lugares y para aquellos recursos, definidos por el plan de manejo del área. Otros usos y actividades que se desarrollen deberán ser compatibles con los objetivos del área. Son áreas de uso directo las Reservas Nacionales, Reservas Paisajísticas, Refugios de Vida Silvestre, Reservas Comunales, Bosques de Protección, Cotos de Caza y Áreas de Conservación Regionales.</w:t>
      </w:r>
    </w:p>
    <w:p w14:paraId="244B2484" w14:textId="77777777" w:rsidR="005A746C" w:rsidRPr="00965A60" w:rsidRDefault="005A746C" w:rsidP="00430EC5">
      <w:pPr>
        <w:rPr>
          <w:rFonts w:cs="Arial"/>
        </w:rPr>
      </w:pPr>
      <w:r w:rsidRPr="00965A60">
        <w:rPr>
          <w:rFonts w:cs="Arial"/>
        </w:rPr>
        <w:t>Las Reservas Nacionales, como la RNSIIPG, son áreas destinadas a la conservación de la diversidad biológica y la utilización sostenible de los recursos de flora y fauna silvestre, acuática o terrestre. En ellas se permite el aprovechamiento comercial de los recursos naturales bajo planes de manejo, aprobados, supervisados y controlados por la autoridad nacional competente.</w:t>
      </w:r>
    </w:p>
    <w:p w14:paraId="71C4A9F3" w14:textId="77777777" w:rsidR="005A746C" w:rsidRPr="00965A60" w:rsidRDefault="005A746C" w:rsidP="00430EC5">
      <w:pPr>
        <w:rPr>
          <w:rFonts w:cs="Arial"/>
        </w:rPr>
      </w:pPr>
      <w:r w:rsidRPr="00965A60">
        <w:rPr>
          <w:rFonts w:cs="Arial"/>
        </w:rPr>
        <w:t>Sin embargo el artículo 23 de la Ley de Áreas Naturales Protegidas (Ley No. 26834) menciona que: “</w:t>
      </w:r>
      <w:r w:rsidRPr="00965A60">
        <w:rPr>
          <w:rFonts w:cs="Arial"/>
          <w:i/>
        </w:rPr>
        <w:t>Independientemente de la categoría asignada, cada área deberá ser zonificada de acuerdo a sus requerimientos y objetivos, pudiendo tener zonas de protección estricta y acceso limitado, cuando así se requiera</w:t>
      </w:r>
      <w:r w:rsidRPr="00965A60">
        <w:rPr>
          <w:rFonts w:cs="Arial"/>
        </w:rPr>
        <w:t>”. Las categorías de esta zonificación incluyen las zonas de protección estricta, zona silvestre, zona de uso turístico-recreativo, zona de uso especial, zona de recuperación y zona de aprovechamiento directo.</w:t>
      </w:r>
    </w:p>
    <w:p w14:paraId="20B8D2DB" w14:textId="77777777" w:rsidR="005A746C" w:rsidRPr="00965A60" w:rsidRDefault="005A746C" w:rsidP="00430EC5">
      <w:pPr>
        <w:rPr>
          <w:rFonts w:cs="Arial"/>
        </w:rPr>
      </w:pPr>
      <w:r w:rsidRPr="00965A60">
        <w:rPr>
          <w:rFonts w:cs="Arial"/>
        </w:rPr>
        <w:lastRenderedPageBreak/>
        <w:t>La zona de protección estricta tiene espacios poco o nada intervenidos y sistemas únicos o frágiles donde solo se permiten actividades propias del manejo del área y excepcionalmente la investigación científica.</w:t>
      </w:r>
    </w:p>
    <w:p w14:paraId="6D7DCD89" w14:textId="77777777" w:rsidR="005A746C" w:rsidRPr="00965A60" w:rsidRDefault="005A746C" w:rsidP="00430EC5">
      <w:pPr>
        <w:rPr>
          <w:rFonts w:cs="Arial"/>
        </w:rPr>
      </w:pPr>
      <w:r w:rsidRPr="00965A60">
        <w:rPr>
          <w:rFonts w:cs="Arial"/>
        </w:rPr>
        <w:t xml:space="preserve">La zona silvestre permitirá actividades de monitoreo, investigación científica, educación y turismo sin infraestructura permanente ni vehículos motorizados. </w:t>
      </w:r>
    </w:p>
    <w:p w14:paraId="0E42E088" w14:textId="77777777" w:rsidR="005A746C" w:rsidRPr="00965A60" w:rsidRDefault="005A746C" w:rsidP="00430EC5">
      <w:pPr>
        <w:rPr>
          <w:rFonts w:cs="Arial"/>
        </w:rPr>
      </w:pPr>
      <w:r w:rsidRPr="00965A60">
        <w:rPr>
          <w:rFonts w:cs="Arial"/>
        </w:rPr>
        <w:t>La Zona de Uso Turístico y Recreativo tiene espacios que tienen rasgos paisajísticos atractivos para los visitantes y, que por su naturaleza, permiten un uso recreativo compatible con los objetivos del área. En estas zonas se permite el desarrollo de actividades educativas y de investigación, así como infraestructura de servicios necesarios para el acceso, estadía y disfrute de los visitantes.</w:t>
      </w:r>
    </w:p>
    <w:p w14:paraId="36AC7A21" w14:textId="77777777" w:rsidR="005A746C" w:rsidRPr="00965A60" w:rsidRDefault="005A746C" w:rsidP="00430EC5">
      <w:pPr>
        <w:rPr>
          <w:rFonts w:cs="Arial"/>
        </w:rPr>
      </w:pPr>
      <w:r w:rsidRPr="00965A60">
        <w:rPr>
          <w:rFonts w:cs="Arial"/>
        </w:rPr>
        <w:t>La Zona de Aprovechamiento Directo es un espacio que tiene previsto actividades de utilización directa de flora o fauna silvestre, incluyendo la pesca, en las categorías de manejo que contemplan tales usos y según las condiciones especificadas para cada ANP. Se permiten actividades para la educación, investigación y recreación. Las Zonas de Aprovechamiento Directo sólo podrán ser establecidas en áreas clasificadas como de uso directo.</w:t>
      </w:r>
    </w:p>
    <w:p w14:paraId="11D60AB9" w14:textId="77777777" w:rsidR="005A746C" w:rsidRPr="00965A60" w:rsidRDefault="005A746C" w:rsidP="00430EC5">
      <w:pPr>
        <w:rPr>
          <w:rFonts w:cs="Arial"/>
        </w:rPr>
      </w:pPr>
      <w:r w:rsidRPr="00965A60">
        <w:rPr>
          <w:rFonts w:cs="Arial"/>
        </w:rPr>
        <w:t xml:space="preserve">Adicionalmente, las zonas adyacentes al ANP, que debido a su ubicación y condiciones requieran un tratamiento especial para garantizar el mantenimiento del ANP, se denominan “zonas de amortiguamiento”. La extensión de estas áreas es definida en el Plan Maestro y las actividades realizadas en estas no deben poner en riesgo la integridad o conservación a futuro del ANP adyacente. En estas áreas se promueven actividades de bajo impacto, sostenibles tales como el ecoturismo; el manejo o recuperación de poblaciones de flora y fauna; el reconocimiento de Áreas de Conservación Privada; las concesiones de conservación; concesiones de servicios ambientales; la investigación; la recuperación de hábitats; el desarrollo de sistemas agroforestales; así como otras actividades o combinación de las mismas, que contribuyan a los objetivos y el fin para los cuales ha sido creada el Área Natural Protegida. </w:t>
      </w:r>
    </w:p>
    <w:p w14:paraId="5B6620AA" w14:textId="77777777" w:rsidR="005A746C" w:rsidRPr="00965A60" w:rsidRDefault="005A746C" w:rsidP="00430EC5">
      <w:pPr>
        <w:rPr>
          <w:rFonts w:cs="Arial"/>
        </w:rPr>
      </w:pPr>
      <w:r w:rsidRPr="00965A60">
        <w:rPr>
          <w:rFonts w:cs="Arial"/>
        </w:rPr>
        <w:t>Los criterios para la zonificación dentro del ANP y su zona de amortiguamiento deben estar basados en sustento técnico y científico y en ningún caso pueden ser sustentados utilizando términos y conceptos generales. Entre estos criterios para la zonificación de Áreas Marinas Protegidas en Perú se encuentran la geomorfología del área y la presencia de especies importantes, bancos de recursos e ingenieros ecológicos.</w:t>
      </w:r>
    </w:p>
    <w:p w14:paraId="78000234" w14:textId="77777777" w:rsidR="005A746C" w:rsidRPr="00965A60" w:rsidRDefault="005A746C" w:rsidP="00430EC5">
      <w:pPr>
        <w:rPr>
          <w:rFonts w:cs="Arial"/>
        </w:rPr>
      </w:pPr>
      <w:r w:rsidRPr="00965A60">
        <w:rPr>
          <w:rFonts w:cs="Arial"/>
        </w:rPr>
        <w:t xml:space="preserve">El SINANPE tiene la obligación de supervisar y monitorear las actividades que se realicen dentro del ANP y su zona de amortiguamiento tomando en cuenta todas aquellas medidas necesarias para que las acciones de aprovechamiento de los recursos naturales ubicados en las Áreas Naturales Protegidas y sus Zonas de Amortiguamiento, aseguren la conservación de los mismos y de los servicios ambientales que puedan prestar. Por este motivo, debe incluirse en el Plan Maestro los criterios para implementar las actividades, requiriendo todas de una </w:t>
      </w:r>
      <w:r w:rsidRPr="00965A60">
        <w:rPr>
          <w:rFonts w:cs="Arial"/>
        </w:rPr>
        <w:lastRenderedPageBreak/>
        <w:t>evaluación de impacto ambiental. Se priorizaran las actividades que contemplen la participación de las comunidades campesinas o nativas y de la población local en general en el desarrollo de las mismas.</w:t>
      </w:r>
    </w:p>
    <w:p w14:paraId="33618D09" w14:textId="34A99914" w:rsidR="005A746C" w:rsidRPr="005A746C" w:rsidRDefault="005A746C" w:rsidP="00430EC5">
      <w:pPr>
        <w:pStyle w:val="Ttulo3"/>
        <w:rPr>
          <w:rFonts w:ascii="Arial" w:hAnsi="Arial" w:cs="Arial"/>
        </w:rPr>
      </w:pPr>
      <w:r w:rsidRPr="005A746C">
        <w:rPr>
          <w:rFonts w:ascii="Arial" w:hAnsi="Arial" w:cs="Arial"/>
        </w:rPr>
        <w:t xml:space="preserve">Modalidades de Gestión y Administración de </w:t>
      </w:r>
      <w:proofErr w:type="spellStart"/>
      <w:r w:rsidRPr="005A746C">
        <w:rPr>
          <w:rFonts w:ascii="Arial" w:hAnsi="Arial" w:cs="Arial"/>
        </w:rPr>
        <w:t>ANPs</w:t>
      </w:r>
      <w:proofErr w:type="spellEnd"/>
    </w:p>
    <w:p w14:paraId="406C6DC2" w14:textId="77777777" w:rsidR="005A746C" w:rsidRPr="00965A60" w:rsidRDefault="005A746C" w:rsidP="00430EC5">
      <w:pPr>
        <w:rPr>
          <w:rFonts w:cs="Arial"/>
        </w:rPr>
      </w:pPr>
      <w:r w:rsidRPr="00965A60">
        <w:rPr>
          <w:rFonts w:cs="Arial"/>
        </w:rPr>
        <w:t xml:space="preserve">Si bien el SERNANP es el organismo administrador de las </w:t>
      </w:r>
      <w:proofErr w:type="spellStart"/>
      <w:r w:rsidRPr="00965A60">
        <w:rPr>
          <w:rFonts w:cs="Arial"/>
        </w:rPr>
        <w:t>ANPs</w:t>
      </w:r>
      <w:proofErr w:type="spellEnd"/>
      <w:r w:rsidRPr="00965A60">
        <w:rPr>
          <w:rFonts w:cs="Arial"/>
        </w:rPr>
        <w:t>, el Estado promueve la participación ciudadana y privada en la gestión de estas e inclusive otorgando la administración, total o parcial de un ANP a terceros bajo las diferentes modalidades que existen.</w:t>
      </w:r>
    </w:p>
    <w:p w14:paraId="1ABB7D00" w14:textId="77777777" w:rsidR="005A746C" w:rsidRPr="00965A60" w:rsidRDefault="005A746C" w:rsidP="00430EC5">
      <w:pPr>
        <w:rPr>
          <w:rFonts w:cs="Arial"/>
        </w:rPr>
      </w:pPr>
      <w:r w:rsidRPr="00965A60">
        <w:rPr>
          <w:rFonts w:cs="Arial"/>
        </w:rPr>
        <w:t xml:space="preserve">Adicionalmente, para fomentar la participación ciudadana y contar con la aprobación y representatividad de los actores locales, toda ANP debe tener un comité de gestión. Este órgano de apoyo es integrado por representantes del Sector Público y Privado que a nivel local, tengan interés o injerencia en el área protegida. </w:t>
      </w:r>
    </w:p>
    <w:p w14:paraId="25B73474" w14:textId="77777777" w:rsidR="005A746C" w:rsidRPr="00965A60" w:rsidRDefault="005A746C" w:rsidP="00430EC5">
      <w:pPr>
        <w:rPr>
          <w:rFonts w:cs="Arial"/>
        </w:rPr>
      </w:pPr>
      <w:r w:rsidRPr="00965A60">
        <w:rPr>
          <w:rFonts w:cs="Arial"/>
        </w:rPr>
        <w:t>El Comité de Gestión tiene como competencia esencial el velar por el buen funcionamiento del Área Natural Protegida, realizar el seguimiento a la ejecución del Plan Maestro y el monitoreo, evaluación y retroalimentación para el cumplimiento de los planes específicos aprobados, así como del cumplimiento de la normatividad vigente.</w:t>
      </w:r>
    </w:p>
    <w:p w14:paraId="00641C9D" w14:textId="77777777" w:rsidR="005A746C" w:rsidRPr="00965A60" w:rsidRDefault="005A746C" w:rsidP="00430EC5">
      <w:pPr>
        <w:rPr>
          <w:rFonts w:cs="Arial"/>
        </w:rPr>
      </w:pPr>
      <w:r w:rsidRPr="00965A60">
        <w:rPr>
          <w:rFonts w:cs="Arial"/>
        </w:rPr>
        <w:t>Según el artículo 14 de la Ley de Áreas Naturales Protegidas (Ley No. 26834), las competencias de los comités de gestión son:</w:t>
      </w:r>
    </w:p>
    <w:p w14:paraId="1BAA57AD" w14:textId="08081D3D" w:rsidR="005A746C" w:rsidRPr="005A746C" w:rsidRDefault="005A746C" w:rsidP="00430EC5">
      <w:pPr>
        <w:pStyle w:val="Prrafodelista"/>
        <w:numPr>
          <w:ilvl w:val="0"/>
          <w:numId w:val="26"/>
        </w:numPr>
        <w:rPr>
          <w:rFonts w:cs="Arial"/>
        </w:rPr>
      </w:pPr>
      <w:r w:rsidRPr="005A746C">
        <w:rPr>
          <w:rFonts w:cs="Arial"/>
        </w:rPr>
        <w:t xml:space="preserve">Proponer las políticas y planes del Área Natural Protegida para su aprobación por el INRENA; </w:t>
      </w:r>
    </w:p>
    <w:p w14:paraId="70F25ADE" w14:textId="1A180DD5" w:rsidR="005A746C" w:rsidRPr="005A746C" w:rsidRDefault="005A746C" w:rsidP="00430EC5">
      <w:pPr>
        <w:pStyle w:val="Prrafodelista"/>
        <w:numPr>
          <w:ilvl w:val="0"/>
          <w:numId w:val="26"/>
        </w:numPr>
        <w:rPr>
          <w:rFonts w:cs="Arial"/>
        </w:rPr>
      </w:pPr>
      <w:r w:rsidRPr="005A746C">
        <w:rPr>
          <w:rFonts w:cs="Arial"/>
        </w:rPr>
        <w:t>Velar por el buen funcionamiento del Área Natural Protegida, la ejecución de sus Planes y el cumplimiento de la normatividad vigente;</w:t>
      </w:r>
    </w:p>
    <w:p w14:paraId="1C94E8C4" w14:textId="0DF7A6FE" w:rsidR="005A746C" w:rsidRPr="005A746C" w:rsidRDefault="005A746C" w:rsidP="00430EC5">
      <w:pPr>
        <w:pStyle w:val="Prrafodelista"/>
        <w:numPr>
          <w:ilvl w:val="0"/>
          <w:numId w:val="26"/>
        </w:numPr>
        <w:rPr>
          <w:rFonts w:cs="Arial"/>
        </w:rPr>
      </w:pPr>
      <w:r w:rsidRPr="005A746C">
        <w:rPr>
          <w:rFonts w:cs="Arial"/>
        </w:rPr>
        <w:t>Proponer medidas que armonicen el uso de los recursos con los objetivos de conservación del Área Natural Protegida;</w:t>
      </w:r>
    </w:p>
    <w:p w14:paraId="17B27342" w14:textId="25E91F7B" w:rsidR="005A746C" w:rsidRPr="005A746C" w:rsidRDefault="005A746C" w:rsidP="00430EC5">
      <w:pPr>
        <w:pStyle w:val="Prrafodelista"/>
        <w:numPr>
          <w:ilvl w:val="0"/>
          <w:numId w:val="26"/>
        </w:numPr>
        <w:rPr>
          <w:rFonts w:cs="Arial"/>
        </w:rPr>
      </w:pPr>
      <w:r w:rsidRPr="005A746C">
        <w:rPr>
          <w:rFonts w:cs="Arial"/>
        </w:rPr>
        <w:t>Supervisar el cumplimiento de los contratos y/o convenios relacionados al manejo del área;</w:t>
      </w:r>
    </w:p>
    <w:p w14:paraId="33FC6C77" w14:textId="4207E61F" w:rsidR="005A746C" w:rsidRPr="005A746C" w:rsidRDefault="005A746C" w:rsidP="00430EC5">
      <w:pPr>
        <w:pStyle w:val="Prrafodelista"/>
        <w:numPr>
          <w:ilvl w:val="0"/>
          <w:numId w:val="26"/>
        </w:numPr>
        <w:rPr>
          <w:rFonts w:cs="Arial"/>
        </w:rPr>
      </w:pPr>
      <w:r w:rsidRPr="005A746C">
        <w:rPr>
          <w:rFonts w:cs="Arial"/>
        </w:rPr>
        <w:t>Supervisar el cumplimiento de los Contratos de Administración vigentes para el Área Natural Protegida;</w:t>
      </w:r>
    </w:p>
    <w:p w14:paraId="75D9E1A0" w14:textId="4BEB6074" w:rsidR="005A746C" w:rsidRPr="005A746C" w:rsidRDefault="005A746C" w:rsidP="00430EC5">
      <w:pPr>
        <w:pStyle w:val="Prrafodelista"/>
        <w:numPr>
          <w:ilvl w:val="0"/>
          <w:numId w:val="26"/>
        </w:numPr>
        <w:rPr>
          <w:rFonts w:cs="Arial"/>
        </w:rPr>
      </w:pPr>
      <w:r w:rsidRPr="005A746C">
        <w:rPr>
          <w:rFonts w:cs="Arial"/>
        </w:rPr>
        <w:t>Participar en la elaboración del respectivo Plan Maestro y velar por su cumplimiento;</w:t>
      </w:r>
    </w:p>
    <w:p w14:paraId="42B1B382" w14:textId="6A63C7F9" w:rsidR="005A746C" w:rsidRPr="005A746C" w:rsidRDefault="005A746C" w:rsidP="00430EC5">
      <w:pPr>
        <w:pStyle w:val="Prrafodelista"/>
        <w:numPr>
          <w:ilvl w:val="0"/>
          <w:numId w:val="26"/>
        </w:numPr>
        <w:rPr>
          <w:rFonts w:cs="Arial"/>
        </w:rPr>
      </w:pPr>
      <w:r w:rsidRPr="005A746C">
        <w:rPr>
          <w:rFonts w:cs="Arial"/>
        </w:rPr>
        <w:t>Proponer acciones conducentes a la defensa del Patrimonio de la Nación vinculado al Área Natural Protegida;</w:t>
      </w:r>
    </w:p>
    <w:p w14:paraId="364049C9" w14:textId="4FB71089" w:rsidR="005A746C" w:rsidRPr="005A746C" w:rsidRDefault="005A746C" w:rsidP="00430EC5">
      <w:pPr>
        <w:pStyle w:val="Prrafodelista"/>
        <w:numPr>
          <w:ilvl w:val="0"/>
          <w:numId w:val="26"/>
        </w:numPr>
        <w:rPr>
          <w:rFonts w:cs="Arial"/>
        </w:rPr>
      </w:pPr>
      <w:r w:rsidRPr="005A746C">
        <w:rPr>
          <w:rFonts w:cs="Arial"/>
        </w:rPr>
        <w:t>Facilitar la coordinación intersectorial para apoyar la gestión de la administración del Área Natural Protegida;</w:t>
      </w:r>
    </w:p>
    <w:p w14:paraId="5B5B6967" w14:textId="7620A801" w:rsidR="005A746C" w:rsidRPr="005A746C" w:rsidRDefault="005A746C" w:rsidP="00430EC5">
      <w:pPr>
        <w:pStyle w:val="Prrafodelista"/>
        <w:numPr>
          <w:ilvl w:val="0"/>
          <w:numId w:val="26"/>
        </w:numPr>
        <w:rPr>
          <w:rFonts w:cs="Arial"/>
        </w:rPr>
      </w:pPr>
      <w:r w:rsidRPr="005A746C">
        <w:rPr>
          <w:rFonts w:cs="Arial"/>
        </w:rPr>
        <w:t>Proponer iniciativas para la captación de recursos financieros; y,</w:t>
      </w:r>
    </w:p>
    <w:p w14:paraId="5CE775E6" w14:textId="3FB7FE62" w:rsidR="005A746C" w:rsidRPr="005A746C" w:rsidRDefault="005A746C" w:rsidP="00430EC5">
      <w:pPr>
        <w:pStyle w:val="Prrafodelista"/>
        <w:numPr>
          <w:ilvl w:val="0"/>
          <w:numId w:val="26"/>
        </w:numPr>
        <w:rPr>
          <w:rFonts w:cs="Arial"/>
        </w:rPr>
      </w:pPr>
      <w:r w:rsidRPr="005A746C">
        <w:rPr>
          <w:rFonts w:cs="Arial"/>
        </w:rPr>
        <w:t xml:space="preserve">En el caso que el Área Natural Protegida sea </w:t>
      </w:r>
      <w:proofErr w:type="spellStart"/>
      <w:r w:rsidRPr="005A746C">
        <w:rPr>
          <w:rFonts w:cs="Arial"/>
        </w:rPr>
        <w:t>partede</w:t>
      </w:r>
      <w:proofErr w:type="spellEnd"/>
      <w:r w:rsidRPr="005A746C">
        <w:rPr>
          <w:rFonts w:cs="Arial"/>
        </w:rPr>
        <w:t xml:space="preserve"> una Reserva de Biosfera, el Comité de Gestión asume las funciones del Comité de Coordinación de la segunda hasta su consolidación.</w:t>
      </w:r>
    </w:p>
    <w:p w14:paraId="36A2DE75" w14:textId="77777777" w:rsidR="005A746C" w:rsidRPr="00965A60" w:rsidRDefault="005A746C" w:rsidP="00430EC5">
      <w:pPr>
        <w:rPr>
          <w:rFonts w:cs="Arial"/>
        </w:rPr>
      </w:pPr>
      <w:r w:rsidRPr="00965A60">
        <w:rPr>
          <w:rFonts w:cs="Arial"/>
        </w:rPr>
        <w:lastRenderedPageBreak/>
        <w:t xml:space="preserve">El término manejo participativo incluye los conceptos de </w:t>
      </w:r>
      <w:proofErr w:type="spellStart"/>
      <w:r w:rsidRPr="00965A60">
        <w:rPr>
          <w:rFonts w:cs="Arial"/>
        </w:rPr>
        <w:t>co</w:t>
      </w:r>
      <w:proofErr w:type="spellEnd"/>
      <w:r w:rsidRPr="00965A60">
        <w:rPr>
          <w:rFonts w:cs="Arial"/>
        </w:rPr>
        <w:t xml:space="preserve">-manejo, manejo conjunto, manejo compartido o manejo por múltiples interesados y en lo aplicable para la gestión de las </w:t>
      </w:r>
      <w:proofErr w:type="spellStart"/>
      <w:r w:rsidRPr="00965A60">
        <w:rPr>
          <w:rFonts w:cs="Arial"/>
        </w:rPr>
        <w:t>ANPs</w:t>
      </w:r>
      <w:proofErr w:type="spellEnd"/>
      <w:r w:rsidRPr="00965A60">
        <w:rPr>
          <w:rFonts w:cs="Arial"/>
        </w:rPr>
        <w:t>, se usa para describir las alianzas establecidas de común acuerdo entre el estado y los diversos actores sociales interesados, para el manejo de un ámbito espacial o de un conjunto de recursos amparados bajo el estado de protección a fin de compartir entre ellos las funciones y responsabilidades del manejo.</w:t>
      </w:r>
    </w:p>
    <w:p w14:paraId="213D098B" w14:textId="77777777" w:rsidR="005A746C" w:rsidRPr="00965A60" w:rsidRDefault="005A746C" w:rsidP="00430EC5">
      <w:pPr>
        <w:rPr>
          <w:rFonts w:cs="Arial"/>
        </w:rPr>
      </w:pPr>
      <w:r w:rsidRPr="00965A60">
        <w:rPr>
          <w:rFonts w:cs="Arial"/>
        </w:rPr>
        <w:t xml:space="preserve">Las modalidades de gestión y manejo participativo de un ANP otorgadas a terceros son: </w:t>
      </w:r>
    </w:p>
    <w:p w14:paraId="3DA3E792" w14:textId="0D869D59" w:rsidR="005A746C" w:rsidRPr="005A746C" w:rsidRDefault="005A746C" w:rsidP="00430EC5">
      <w:pPr>
        <w:pStyle w:val="Prrafodelista"/>
        <w:numPr>
          <w:ilvl w:val="0"/>
          <w:numId w:val="26"/>
        </w:numPr>
        <w:rPr>
          <w:rFonts w:cs="Arial"/>
        </w:rPr>
      </w:pPr>
      <w:r w:rsidRPr="005A746C">
        <w:rPr>
          <w:rFonts w:cs="Arial"/>
        </w:rPr>
        <w:t>Contratos de Administración del área.</w:t>
      </w:r>
    </w:p>
    <w:p w14:paraId="53F7B038" w14:textId="65ACCCA6" w:rsidR="005A746C" w:rsidRPr="005A746C" w:rsidRDefault="005A746C" w:rsidP="00430EC5">
      <w:pPr>
        <w:pStyle w:val="Prrafodelista"/>
        <w:numPr>
          <w:ilvl w:val="0"/>
          <w:numId w:val="26"/>
        </w:numPr>
        <w:rPr>
          <w:rFonts w:cs="Arial"/>
        </w:rPr>
      </w:pPr>
      <w:r w:rsidRPr="005A746C">
        <w:rPr>
          <w:rFonts w:cs="Arial"/>
        </w:rPr>
        <w:t>Concesiones para la prestación de servicios económicos dentro del área.</w:t>
      </w:r>
    </w:p>
    <w:p w14:paraId="60302890" w14:textId="53D9AEF4" w:rsidR="005A746C" w:rsidRPr="005A746C" w:rsidRDefault="005A746C" w:rsidP="00430EC5">
      <w:pPr>
        <w:pStyle w:val="Prrafodelista"/>
        <w:numPr>
          <w:ilvl w:val="0"/>
          <w:numId w:val="26"/>
        </w:numPr>
        <w:rPr>
          <w:rFonts w:cs="Arial"/>
        </w:rPr>
      </w:pPr>
      <w:r w:rsidRPr="005A746C">
        <w:rPr>
          <w:rFonts w:cs="Arial"/>
        </w:rPr>
        <w:t>Contratos para el aprovechamiento de recursos del Sector.</w:t>
      </w:r>
    </w:p>
    <w:p w14:paraId="3290FC72" w14:textId="403CC162" w:rsidR="005A746C" w:rsidRPr="005A746C" w:rsidRDefault="005A746C" w:rsidP="00430EC5">
      <w:pPr>
        <w:pStyle w:val="Prrafodelista"/>
        <w:numPr>
          <w:ilvl w:val="0"/>
          <w:numId w:val="26"/>
        </w:numPr>
        <w:rPr>
          <w:rFonts w:cs="Arial"/>
        </w:rPr>
      </w:pPr>
      <w:r w:rsidRPr="005A746C">
        <w:rPr>
          <w:rFonts w:cs="Arial"/>
        </w:rPr>
        <w:t>Convenios para la ejecución de proyectos o programas de investigación y/o conservación.</w:t>
      </w:r>
    </w:p>
    <w:p w14:paraId="7F317CF9" w14:textId="3C044120" w:rsidR="005A746C" w:rsidRPr="005A746C" w:rsidRDefault="005A746C" w:rsidP="00430EC5">
      <w:pPr>
        <w:pStyle w:val="Prrafodelista"/>
        <w:numPr>
          <w:ilvl w:val="0"/>
          <w:numId w:val="26"/>
        </w:numPr>
        <w:rPr>
          <w:rFonts w:cs="Arial"/>
        </w:rPr>
      </w:pPr>
      <w:r w:rsidRPr="005A746C">
        <w:rPr>
          <w:rFonts w:cs="Arial"/>
        </w:rPr>
        <w:t>Autorizaciones y permisos para el desarrollo de actividades menores.</w:t>
      </w:r>
    </w:p>
    <w:p w14:paraId="28945B50" w14:textId="2AC28C8E" w:rsidR="005A746C" w:rsidRPr="005A746C" w:rsidRDefault="005A746C" w:rsidP="00430EC5">
      <w:pPr>
        <w:pStyle w:val="Prrafodelista"/>
        <w:numPr>
          <w:ilvl w:val="0"/>
          <w:numId w:val="26"/>
        </w:numPr>
        <w:rPr>
          <w:rFonts w:cs="Arial"/>
        </w:rPr>
      </w:pPr>
      <w:r w:rsidRPr="005A746C">
        <w:rPr>
          <w:rFonts w:cs="Arial"/>
        </w:rPr>
        <w:t>Otras modalidades que se establezcan en la legislación.</w:t>
      </w:r>
    </w:p>
    <w:p w14:paraId="5E7FD378" w14:textId="77777777" w:rsidR="005A746C" w:rsidRPr="00965A60" w:rsidRDefault="005A746C" w:rsidP="00430EC5">
      <w:pPr>
        <w:rPr>
          <w:rFonts w:cs="Arial"/>
        </w:rPr>
      </w:pPr>
      <w:r w:rsidRPr="00965A60">
        <w:rPr>
          <w:rFonts w:cs="Arial"/>
        </w:rPr>
        <w:t>Para el manejo participativo de un ANP es esencial identificar:</w:t>
      </w:r>
    </w:p>
    <w:p w14:paraId="68E08067" w14:textId="324B8EBD" w:rsidR="005A746C" w:rsidRPr="005A746C" w:rsidRDefault="005A746C" w:rsidP="00430EC5">
      <w:pPr>
        <w:pStyle w:val="Prrafodelista"/>
        <w:numPr>
          <w:ilvl w:val="0"/>
          <w:numId w:val="26"/>
        </w:numPr>
        <w:rPr>
          <w:rFonts w:cs="Arial"/>
        </w:rPr>
      </w:pPr>
      <w:r w:rsidRPr="005A746C">
        <w:rPr>
          <w:rFonts w:cs="Arial"/>
        </w:rPr>
        <w:t>El ámbito espacial donde desarrollan sus actividades;</w:t>
      </w:r>
    </w:p>
    <w:p w14:paraId="07AAD925" w14:textId="075DACFF" w:rsidR="005A746C" w:rsidRPr="005A746C" w:rsidRDefault="005A746C" w:rsidP="00430EC5">
      <w:pPr>
        <w:pStyle w:val="Prrafodelista"/>
        <w:numPr>
          <w:ilvl w:val="0"/>
          <w:numId w:val="26"/>
        </w:numPr>
        <w:rPr>
          <w:rFonts w:cs="Arial"/>
        </w:rPr>
      </w:pPr>
      <w:r w:rsidRPr="005A746C">
        <w:rPr>
          <w:rFonts w:cs="Arial"/>
        </w:rPr>
        <w:t>El rango de actividades, funciones y usos sostenibles que pueden realizar o realizan;</w:t>
      </w:r>
    </w:p>
    <w:p w14:paraId="40591F3B" w14:textId="1E08D603" w:rsidR="005A746C" w:rsidRPr="005A746C" w:rsidRDefault="005A746C" w:rsidP="00430EC5">
      <w:pPr>
        <w:pStyle w:val="Prrafodelista"/>
        <w:numPr>
          <w:ilvl w:val="0"/>
          <w:numId w:val="26"/>
        </w:numPr>
        <w:rPr>
          <w:rFonts w:cs="Arial"/>
        </w:rPr>
      </w:pPr>
      <w:r w:rsidRPr="005A746C">
        <w:rPr>
          <w:rFonts w:cs="Arial"/>
        </w:rPr>
        <w:t>Las actividades, funciones y responsabilidades que asume cada integrante;</w:t>
      </w:r>
    </w:p>
    <w:p w14:paraId="360FFC84" w14:textId="42C83783" w:rsidR="005A746C" w:rsidRPr="005A746C" w:rsidRDefault="005A746C" w:rsidP="00430EC5">
      <w:pPr>
        <w:pStyle w:val="Prrafodelista"/>
        <w:numPr>
          <w:ilvl w:val="0"/>
          <w:numId w:val="26"/>
        </w:numPr>
        <w:rPr>
          <w:rFonts w:cs="Arial"/>
        </w:rPr>
      </w:pPr>
      <w:r w:rsidRPr="005A746C">
        <w:rPr>
          <w:rFonts w:cs="Arial"/>
        </w:rPr>
        <w:t>Los beneficios y derechos específicos que asume cada integrante;</w:t>
      </w:r>
    </w:p>
    <w:p w14:paraId="1E5724E1" w14:textId="63941020" w:rsidR="005A746C" w:rsidRPr="005A746C" w:rsidRDefault="005A746C" w:rsidP="00430EC5">
      <w:pPr>
        <w:pStyle w:val="Prrafodelista"/>
        <w:numPr>
          <w:ilvl w:val="0"/>
          <w:numId w:val="26"/>
        </w:numPr>
        <w:rPr>
          <w:rFonts w:cs="Arial"/>
        </w:rPr>
      </w:pPr>
      <w:r w:rsidRPr="005A746C">
        <w:rPr>
          <w:rFonts w:cs="Arial"/>
        </w:rPr>
        <w:t>El conjunto acordado de prioridades de manejo las cuales se identifican en el Plan Maestro respectivo; y</w:t>
      </w:r>
    </w:p>
    <w:p w14:paraId="102E85D0" w14:textId="0CD14438" w:rsidR="005A746C" w:rsidRPr="005A746C" w:rsidRDefault="005A746C" w:rsidP="00430EC5">
      <w:pPr>
        <w:pStyle w:val="Prrafodelista"/>
        <w:numPr>
          <w:ilvl w:val="0"/>
          <w:numId w:val="26"/>
        </w:numPr>
        <w:rPr>
          <w:rFonts w:cs="Arial"/>
        </w:rPr>
      </w:pPr>
      <w:r w:rsidRPr="005A746C">
        <w:rPr>
          <w:rFonts w:cs="Arial"/>
        </w:rPr>
        <w:t>Los mejores mecanismos previstos por la legislación para formalizar los acuerdos tomados.</w:t>
      </w:r>
    </w:p>
    <w:p w14:paraId="63D02745" w14:textId="77777777" w:rsidR="005A746C" w:rsidRPr="00965A60" w:rsidRDefault="005A746C" w:rsidP="00430EC5">
      <w:pPr>
        <w:rPr>
          <w:rFonts w:cs="Arial"/>
        </w:rPr>
      </w:pPr>
      <w:r w:rsidRPr="00965A60">
        <w:rPr>
          <w:rFonts w:cs="Arial"/>
        </w:rPr>
        <w:t>Por el Contrato de Administración el Estado encarga a una persona jurídica sin fines de lucro, de derecho privado, denominada Ejecutor, la ejecución total o parcial de las operaciones de manejo y administración contenidos en los programas del Plan Maestro de un Área Natural Protegida, por un plazo de hasta veinte (20) años. Las entidades que contribuyen en la elaboración del Plan Maestro, pueden participar en los concursos que tengan como fin definir al Ejecutor de Contrato de Administración del ANP correspondiente.</w:t>
      </w:r>
    </w:p>
    <w:p w14:paraId="437F7070" w14:textId="77777777" w:rsidR="005A746C" w:rsidRPr="00965A60" w:rsidRDefault="005A746C" w:rsidP="00430EC5">
      <w:pPr>
        <w:rPr>
          <w:rFonts w:cs="Arial"/>
        </w:rPr>
      </w:pPr>
      <w:r w:rsidRPr="00965A60">
        <w:rPr>
          <w:rFonts w:cs="Arial"/>
        </w:rPr>
        <w:t xml:space="preserve">En las ANP bajo Contratos de Administración, el Jefe del área tiene a su cargo las funciones de control y supervisión, correspondiéndole al Ejecutor del Contrato las funciones de manejo y administración. En los respectivos Contratos de Administración que se suscriban se detallan las funciones que asume el Ejecutor, las cuales incluyen las funciones de monitoreo y apoyo al control, entre otras. </w:t>
      </w:r>
    </w:p>
    <w:p w14:paraId="0B094185" w14:textId="77777777" w:rsidR="005A746C" w:rsidRPr="00965A60" w:rsidRDefault="005A746C" w:rsidP="00430EC5">
      <w:pPr>
        <w:rPr>
          <w:rFonts w:cs="Arial"/>
        </w:rPr>
      </w:pPr>
      <w:r w:rsidRPr="00965A60">
        <w:rPr>
          <w:rFonts w:cs="Arial"/>
        </w:rPr>
        <w:t xml:space="preserve">Adicionalmente, el ejecutor debe presentar al SERNANP el presupuesto anual del Área Natural Protegida que administra, informando sobre las fuentes de financiamiento del mismo. Además, </w:t>
      </w:r>
      <w:r w:rsidRPr="00965A60">
        <w:rPr>
          <w:rFonts w:cs="Arial"/>
        </w:rPr>
        <w:lastRenderedPageBreak/>
        <w:t>los recursos económicos asignados al Área Natural Protegida, así como los que se generen por su gestión deben ser utilizados exclusivamente en beneficio del Área Natural Protegida.</w:t>
      </w:r>
    </w:p>
    <w:p w14:paraId="7D235412" w14:textId="77777777" w:rsidR="005A746C" w:rsidRPr="00965A60" w:rsidRDefault="005A746C" w:rsidP="00430EC5">
      <w:pPr>
        <w:rPr>
          <w:rFonts w:cs="Arial"/>
        </w:rPr>
      </w:pPr>
      <w:r w:rsidRPr="00965A60">
        <w:rPr>
          <w:rFonts w:cs="Arial"/>
        </w:rPr>
        <w:t xml:space="preserve">En el supuesto que el Área Natural Protegida no cuente con un Plan Maestro aprobado, es condición expresa para la vigencia del Contrato de Administración la inclusión de una cláusula que obligue al Ejecutor a financiar o realizar, según el caso, la elaboración del mismo y del proceso de conformación del Comité de Gestión. </w:t>
      </w:r>
    </w:p>
    <w:p w14:paraId="4F5D1EB0" w14:textId="77777777" w:rsidR="005A746C" w:rsidRPr="00965A60" w:rsidRDefault="005A746C" w:rsidP="00430EC5">
      <w:pPr>
        <w:rPr>
          <w:rFonts w:cs="Arial"/>
        </w:rPr>
      </w:pPr>
      <w:r w:rsidRPr="00965A60">
        <w:rPr>
          <w:rFonts w:cs="Arial"/>
        </w:rPr>
        <w:t>La ejecución de los Contratos de Administración será analizada de manera integral cada cinco (5) años, o cada vez que el Plan Maestro sea revisado o reformulado. La conclusión de dicho análisis puede originar la resolución del instrumento contractual.</w:t>
      </w:r>
    </w:p>
    <w:p w14:paraId="426F3236" w14:textId="77777777" w:rsidR="005A746C" w:rsidRPr="00965A60" w:rsidRDefault="005A746C" w:rsidP="00430EC5">
      <w:pPr>
        <w:rPr>
          <w:rFonts w:cs="Arial"/>
        </w:rPr>
      </w:pPr>
      <w:r w:rsidRPr="00965A60">
        <w:rPr>
          <w:rFonts w:cs="Arial"/>
        </w:rPr>
        <w:t>Para subscribir un contrato de administración, el ejecutor debe tener:</w:t>
      </w:r>
    </w:p>
    <w:p w14:paraId="3EE60727" w14:textId="6EFDC284" w:rsidR="005A746C" w:rsidRPr="005A746C" w:rsidRDefault="005A746C" w:rsidP="00430EC5">
      <w:pPr>
        <w:pStyle w:val="Prrafodelista"/>
        <w:numPr>
          <w:ilvl w:val="0"/>
          <w:numId w:val="26"/>
        </w:numPr>
        <w:rPr>
          <w:rFonts w:cs="Arial"/>
        </w:rPr>
      </w:pPr>
      <w:r w:rsidRPr="005A746C">
        <w:rPr>
          <w:rFonts w:cs="Arial"/>
        </w:rPr>
        <w:t>Norma de creación que le otorga funciones para la conservación.</w:t>
      </w:r>
    </w:p>
    <w:p w14:paraId="19AD2C3A" w14:textId="60999896" w:rsidR="005A746C" w:rsidRPr="005A746C" w:rsidRDefault="005A746C" w:rsidP="00430EC5">
      <w:pPr>
        <w:pStyle w:val="Prrafodelista"/>
        <w:numPr>
          <w:ilvl w:val="0"/>
          <w:numId w:val="26"/>
        </w:numPr>
        <w:rPr>
          <w:rFonts w:cs="Arial"/>
        </w:rPr>
      </w:pPr>
      <w:r w:rsidRPr="005A746C">
        <w:rPr>
          <w:rFonts w:cs="Arial"/>
        </w:rPr>
        <w:t>Experiencia mínima de cinco (5) años en el logro de resultados asociados a los temas materia del contrato a través de convenios de cooperación, con la autoridad competente, a la fecha de convocatoria del concurso respectivo.</w:t>
      </w:r>
    </w:p>
    <w:p w14:paraId="2386645F" w14:textId="627650BD" w:rsidR="005A746C" w:rsidRPr="005A746C" w:rsidRDefault="005A746C" w:rsidP="00430EC5">
      <w:pPr>
        <w:pStyle w:val="Prrafodelista"/>
        <w:numPr>
          <w:ilvl w:val="0"/>
          <w:numId w:val="26"/>
        </w:numPr>
        <w:rPr>
          <w:rFonts w:cs="Arial"/>
        </w:rPr>
      </w:pPr>
      <w:r w:rsidRPr="005A746C">
        <w:rPr>
          <w:rFonts w:cs="Arial"/>
        </w:rPr>
        <w:t>Experiencia y participación comprobada en el manejo del Área Natural Protegida objeto del convenio.</w:t>
      </w:r>
    </w:p>
    <w:p w14:paraId="75C545EF" w14:textId="5A05562D" w:rsidR="005A746C" w:rsidRPr="005A746C" w:rsidRDefault="005A746C" w:rsidP="00430EC5">
      <w:pPr>
        <w:pStyle w:val="Prrafodelista"/>
        <w:numPr>
          <w:ilvl w:val="0"/>
          <w:numId w:val="26"/>
        </w:numPr>
        <w:rPr>
          <w:rFonts w:cs="Arial"/>
        </w:rPr>
      </w:pPr>
      <w:r w:rsidRPr="005A746C">
        <w:rPr>
          <w:rFonts w:cs="Arial"/>
        </w:rPr>
        <w:t>Estructura orgánica adecuada para la ejecución del convenio, contando con personal especializado dependiente de una unidad ejecutora del  convenio.</w:t>
      </w:r>
    </w:p>
    <w:p w14:paraId="2C18CF39" w14:textId="0364E139" w:rsidR="005A746C" w:rsidRPr="005A746C" w:rsidRDefault="005A746C" w:rsidP="00430EC5">
      <w:pPr>
        <w:pStyle w:val="Prrafodelista"/>
        <w:numPr>
          <w:ilvl w:val="0"/>
          <w:numId w:val="26"/>
        </w:numPr>
        <w:rPr>
          <w:rFonts w:cs="Arial"/>
        </w:rPr>
      </w:pPr>
      <w:r w:rsidRPr="005A746C">
        <w:rPr>
          <w:rFonts w:cs="Arial"/>
        </w:rPr>
        <w:t>Presupuesto para la ejecución de los programas del Plan Maestro a largo plazo.</w:t>
      </w:r>
    </w:p>
    <w:p w14:paraId="4ED278AD" w14:textId="0CEC341F" w:rsidR="005A746C" w:rsidRPr="005A746C" w:rsidRDefault="005A746C" w:rsidP="00430EC5">
      <w:pPr>
        <w:pStyle w:val="Prrafodelista"/>
        <w:numPr>
          <w:ilvl w:val="0"/>
          <w:numId w:val="26"/>
        </w:numPr>
        <w:rPr>
          <w:rFonts w:cs="Arial"/>
        </w:rPr>
      </w:pPr>
      <w:r w:rsidRPr="005A746C">
        <w:rPr>
          <w:rFonts w:cs="Arial"/>
        </w:rPr>
        <w:t>Otros requisitos que se especifiquen de acuerdo a la categoría, objetivos de creación y el Plan Maestro.</w:t>
      </w:r>
    </w:p>
    <w:p w14:paraId="7B6C5CCF" w14:textId="77777777" w:rsidR="005A746C" w:rsidRPr="00965A60" w:rsidRDefault="005A746C" w:rsidP="00430EC5">
      <w:pPr>
        <w:rPr>
          <w:rFonts w:cs="Arial"/>
        </w:rPr>
      </w:pPr>
      <w:r w:rsidRPr="00965A60">
        <w:rPr>
          <w:rFonts w:cs="Arial"/>
        </w:rPr>
        <w:t>Además de los comités de gestión, la sociedad civil también puede apoyar la gestión de un ANP mediante la organización de Patronatos.</w:t>
      </w:r>
    </w:p>
    <w:p w14:paraId="07317AD9" w14:textId="77777777" w:rsidR="005A746C" w:rsidRPr="00965A60" w:rsidRDefault="005A746C" w:rsidP="00430EC5">
      <w:pPr>
        <w:rPr>
          <w:rFonts w:cs="Arial"/>
        </w:rPr>
      </w:pPr>
      <w:r w:rsidRPr="00965A60">
        <w:rPr>
          <w:rFonts w:cs="Arial"/>
        </w:rPr>
        <w:t>Un patronato es una organización sin fines de lucro conformada exclusivamente por actores del ámbito privado y normada por el Código Civil que impulsa el apoyo y sostenibilidad de un área natural protegida mediante la canalización de recursos financieros. Esta contribución se constituye a través de los recursos económicos y de gestión provenientes de los asociados, los que permitirán no sólo financiar directamente las actividades priorizadas por el patronato en el marco del Plan Maestro del área, sino que posibilitarán el apalancamiento de nuevos recursos, públicos y privados, nacionales e internacionales, con la finalidad de dotar a la misma de fuentes diversas y sostenibles de financiamiento.</w:t>
      </w:r>
    </w:p>
    <w:p w14:paraId="10427DDF" w14:textId="77777777" w:rsidR="005A746C" w:rsidRPr="00965A60" w:rsidRDefault="005A746C" w:rsidP="00430EC5">
      <w:pPr>
        <w:rPr>
          <w:rFonts w:cs="Arial"/>
        </w:rPr>
      </w:pPr>
      <w:r w:rsidRPr="00965A60">
        <w:rPr>
          <w:rFonts w:cs="Arial"/>
        </w:rPr>
        <w:t>Al</w:t>
      </w:r>
      <w:r>
        <w:rPr>
          <w:rFonts w:cs="Arial"/>
        </w:rPr>
        <w:t xml:space="preserve"> coordinar y articular a los actores de la sociedad civil involucrados,</w:t>
      </w:r>
      <w:r w:rsidRPr="00965A60">
        <w:rPr>
          <w:rFonts w:cs="Arial"/>
        </w:rPr>
        <w:t xml:space="preserve"> un patronato logrará </w:t>
      </w:r>
      <w:r>
        <w:rPr>
          <w:rFonts w:cs="Arial"/>
        </w:rPr>
        <w:t>evitar la duplicidad de esfuerzos</w:t>
      </w:r>
      <w:r w:rsidRPr="00965A60">
        <w:rPr>
          <w:rFonts w:cs="Arial"/>
        </w:rPr>
        <w:t xml:space="preserve"> y </w:t>
      </w:r>
      <w:r>
        <w:rPr>
          <w:rFonts w:cs="Arial"/>
        </w:rPr>
        <w:t xml:space="preserve">asegurar que el </w:t>
      </w:r>
      <w:r w:rsidRPr="00965A60">
        <w:rPr>
          <w:rFonts w:cs="Arial"/>
        </w:rPr>
        <w:t xml:space="preserve">financiamiento de un ANP sea más eficiente y concertado. Un atractivo extra para el sector privado acerca de los patronatos es que las donaciones realizadas a patronatos podrán justificarse como gasto deducible para la </w:t>
      </w:r>
      <w:proofErr w:type="gramStart"/>
      <w:r w:rsidRPr="00965A60">
        <w:rPr>
          <w:rFonts w:cs="Arial"/>
        </w:rPr>
        <w:t>determinación</w:t>
      </w:r>
      <w:proofErr w:type="gramEnd"/>
      <w:r w:rsidRPr="00965A60">
        <w:rPr>
          <w:rFonts w:cs="Arial"/>
        </w:rPr>
        <w:t xml:space="preserve"> de su Impuesto a la Renta.</w:t>
      </w:r>
    </w:p>
    <w:p w14:paraId="61E39FD6" w14:textId="6F66DE18" w:rsidR="005A746C" w:rsidRPr="005A746C" w:rsidRDefault="005A746C" w:rsidP="00430EC5">
      <w:pPr>
        <w:pStyle w:val="Ttulo3"/>
        <w:rPr>
          <w:rFonts w:ascii="Arial" w:hAnsi="Arial" w:cs="Arial"/>
        </w:rPr>
      </w:pPr>
      <w:r w:rsidRPr="005A746C">
        <w:rPr>
          <w:rFonts w:ascii="Arial" w:hAnsi="Arial" w:cs="Arial"/>
        </w:rPr>
        <w:lastRenderedPageBreak/>
        <w:t xml:space="preserve">Educación, investigación científica y turismo dentro de </w:t>
      </w:r>
      <w:proofErr w:type="spellStart"/>
      <w:r w:rsidRPr="005A746C">
        <w:rPr>
          <w:rFonts w:ascii="Arial" w:hAnsi="Arial" w:cs="Arial"/>
        </w:rPr>
        <w:t>ANPs</w:t>
      </w:r>
      <w:proofErr w:type="spellEnd"/>
      <w:r w:rsidRPr="005A746C">
        <w:rPr>
          <w:rFonts w:ascii="Arial" w:hAnsi="Arial" w:cs="Arial"/>
        </w:rPr>
        <w:t xml:space="preserve"> y sus áreas de amortiguamiento</w:t>
      </w:r>
    </w:p>
    <w:p w14:paraId="7477CE0C" w14:textId="77777777" w:rsidR="005A746C" w:rsidRPr="00965A60" w:rsidRDefault="005A746C" w:rsidP="00430EC5">
      <w:pPr>
        <w:rPr>
          <w:rFonts w:cs="Arial"/>
        </w:rPr>
      </w:pPr>
      <w:r w:rsidRPr="00965A60">
        <w:rPr>
          <w:rFonts w:cs="Arial"/>
        </w:rPr>
        <w:t>El Estado reconoce la importancia de las Áreas Naturales Protegidas para el desarrollo de actividades de investigación científica básica y aplicada, así como para la educación, el turismo y la recreación en la naturaleza. Estas actividades sólo serán autorizadas si su desarrollo no afecta los objetivos primarios de conservación del área en la cual se lleven a cabo y se respete la zonificación y condiciones establecidas en el Plan Maestro del área.</w:t>
      </w:r>
    </w:p>
    <w:p w14:paraId="3328A57C" w14:textId="77777777" w:rsidR="005A746C" w:rsidRPr="00965A60" w:rsidRDefault="005A746C" w:rsidP="00430EC5">
      <w:pPr>
        <w:rPr>
          <w:rFonts w:cs="Arial"/>
        </w:rPr>
      </w:pPr>
      <w:r w:rsidRPr="00965A60">
        <w:rPr>
          <w:rFonts w:cs="Arial"/>
        </w:rPr>
        <w:t>Las Áreas Naturales Protegidas constituyen importantes instrumentos de la política educativa del Estado, por lo que éste debe promover el establecimiento en sus programas y planes educativos mecanismos mediante los cuales la población tome conocimiento de las características y valores excepcionales de las mismas.</w:t>
      </w:r>
    </w:p>
    <w:p w14:paraId="39615AF1" w14:textId="77777777" w:rsidR="005A746C" w:rsidRPr="00965A60" w:rsidRDefault="005A746C" w:rsidP="00430EC5">
      <w:pPr>
        <w:rPr>
          <w:rFonts w:cs="Arial"/>
        </w:rPr>
      </w:pPr>
      <w:r w:rsidRPr="00965A60">
        <w:rPr>
          <w:rFonts w:cs="Arial"/>
        </w:rPr>
        <w:t xml:space="preserve">El desarrollo del turismo en las Áreas Naturales Protegidas, se sujeta a los objetivos primarios de conservación de cada ANP, procurando minimizar los impactos ambientales y socioculturales que se puedan generar, de modo que se logre una actividad turística sostenible. No se otorgan Concesiones de Uso Turístico en la Zona de Protección Estricta, ni Zona Silvestre de las </w:t>
      </w:r>
      <w:proofErr w:type="spellStart"/>
      <w:r w:rsidRPr="00965A60">
        <w:rPr>
          <w:rFonts w:cs="Arial"/>
        </w:rPr>
        <w:t>ANPs</w:t>
      </w:r>
      <w:proofErr w:type="spellEnd"/>
      <w:r w:rsidRPr="00965A60">
        <w:rPr>
          <w:rFonts w:cs="Arial"/>
        </w:rPr>
        <w:t>.</w:t>
      </w:r>
    </w:p>
    <w:p w14:paraId="66EAA1AC" w14:textId="77777777" w:rsidR="005A746C" w:rsidRPr="00965A60" w:rsidRDefault="005A746C" w:rsidP="00430EC5">
      <w:pPr>
        <w:rPr>
          <w:rFonts w:cs="Arial"/>
        </w:rPr>
      </w:pPr>
      <w:r w:rsidRPr="00965A60">
        <w:rPr>
          <w:rFonts w:cs="Arial"/>
        </w:rPr>
        <w:t>Las modalidades de otorgamiento de derechos para el aprovechamiento del recurso natural paisaje con fines turísticos son las siguientes:</w:t>
      </w:r>
    </w:p>
    <w:p w14:paraId="52492052" w14:textId="2DDB616E" w:rsidR="005A746C" w:rsidRPr="005A746C" w:rsidRDefault="005A746C" w:rsidP="00430EC5">
      <w:pPr>
        <w:pStyle w:val="Prrafodelista"/>
        <w:numPr>
          <w:ilvl w:val="0"/>
          <w:numId w:val="26"/>
        </w:numPr>
        <w:rPr>
          <w:rFonts w:cs="Arial"/>
        </w:rPr>
      </w:pPr>
      <w:r w:rsidRPr="005A746C">
        <w:rPr>
          <w:rFonts w:cs="Arial"/>
        </w:rPr>
        <w:t>Concesión;</w:t>
      </w:r>
    </w:p>
    <w:p w14:paraId="5A69C5A6" w14:textId="6137DEBB" w:rsidR="005A746C" w:rsidRPr="005A746C" w:rsidRDefault="005A746C" w:rsidP="00430EC5">
      <w:pPr>
        <w:pStyle w:val="Prrafodelista"/>
        <w:numPr>
          <w:ilvl w:val="0"/>
          <w:numId w:val="26"/>
        </w:numPr>
        <w:rPr>
          <w:rFonts w:cs="Arial"/>
        </w:rPr>
      </w:pPr>
      <w:r w:rsidRPr="005A746C">
        <w:rPr>
          <w:rFonts w:cs="Arial"/>
        </w:rPr>
        <w:t>Contrato de Servicio Turístico;</w:t>
      </w:r>
    </w:p>
    <w:p w14:paraId="26D065AC" w14:textId="089313CD" w:rsidR="005A746C" w:rsidRPr="005A746C" w:rsidRDefault="005A746C" w:rsidP="00430EC5">
      <w:pPr>
        <w:pStyle w:val="Prrafodelista"/>
        <w:numPr>
          <w:ilvl w:val="0"/>
          <w:numId w:val="26"/>
        </w:numPr>
        <w:rPr>
          <w:rFonts w:cs="Arial"/>
        </w:rPr>
      </w:pPr>
      <w:r w:rsidRPr="005A746C">
        <w:rPr>
          <w:rFonts w:cs="Arial"/>
        </w:rPr>
        <w:t>Permiso;</w:t>
      </w:r>
    </w:p>
    <w:p w14:paraId="23D92E55" w14:textId="59077B0B" w:rsidR="005A746C" w:rsidRPr="005A746C" w:rsidRDefault="005A746C" w:rsidP="00430EC5">
      <w:pPr>
        <w:pStyle w:val="Prrafodelista"/>
        <w:numPr>
          <w:ilvl w:val="0"/>
          <w:numId w:val="26"/>
        </w:numPr>
        <w:rPr>
          <w:rFonts w:cs="Arial"/>
        </w:rPr>
      </w:pPr>
      <w:r w:rsidRPr="005A746C">
        <w:rPr>
          <w:rFonts w:cs="Arial"/>
        </w:rPr>
        <w:t>Autorización;</w:t>
      </w:r>
    </w:p>
    <w:p w14:paraId="5DD34B38" w14:textId="2663882C" w:rsidR="005A746C" w:rsidRPr="005A746C" w:rsidRDefault="005A746C" w:rsidP="00430EC5">
      <w:pPr>
        <w:pStyle w:val="Prrafodelista"/>
        <w:numPr>
          <w:ilvl w:val="0"/>
          <w:numId w:val="26"/>
        </w:numPr>
        <w:rPr>
          <w:rFonts w:cs="Arial"/>
        </w:rPr>
      </w:pPr>
      <w:r w:rsidRPr="005A746C">
        <w:rPr>
          <w:rFonts w:cs="Arial"/>
        </w:rPr>
        <w:t>Acuerdo.</w:t>
      </w:r>
    </w:p>
    <w:p w14:paraId="0DF9831B" w14:textId="77777777" w:rsidR="005A746C" w:rsidRPr="00965A60" w:rsidRDefault="005A746C" w:rsidP="00430EC5">
      <w:pPr>
        <w:rPr>
          <w:rFonts w:cs="Arial"/>
        </w:rPr>
      </w:pPr>
      <w:r w:rsidRPr="00965A60">
        <w:rPr>
          <w:rFonts w:cs="Arial"/>
        </w:rPr>
        <w:t>El contrato de servicio(s) turístico(s) es la modalidad que permite el aprovechamiento económico del paisaje en sitios de dominio público para el desarrollo de actividades que no requieren la construcción o habilitación de infraestructura o estructura. El contrato de servicios turísticos no otorga exclusividad para desarrollar la actividad turística.</w:t>
      </w:r>
    </w:p>
    <w:p w14:paraId="38275B88" w14:textId="77777777" w:rsidR="005A746C" w:rsidRPr="00965A60" w:rsidRDefault="005A746C" w:rsidP="00430EC5">
      <w:pPr>
        <w:rPr>
          <w:rFonts w:cs="Arial"/>
        </w:rPr>
      </w:pPr>
      <w:r w:rsidRPr="00965A60">
        <w:rPr>
          <w:rFonts w:cs="Arial"/>
        </w:rPr>
        <w:t xml:space="preserve">Para iniciar las actividades turísticas es necesario tener un plan de uso turístico aceptado por la entidad competente. Este documento debe contener al menos: </w:t>
      </w:r>
    </w:p>
    <w:p w14:paraId="58EF3723" w14:textId="6E5DAF13" w:rsidR="005A746C" w:rsidRPr="005A746C" w:rsidRDefault="005A746C" w:rsidP="00430EC5">
      <w:pPr>
        <w:pStyle w:val="Prrafodelista"/>
        <w:numPr>
          <w:ilvl w:val="0"/>
          <w:numId w:val="26"/>
        </w:numPr>
        <w:rPr>
          <w:rFonts w:cs="Arial"/>
        </w:rPr>
      </w:pPr>
      <w:r w:rsidRPr="005A746C">
        <w:rPr>
          <w:rFonts w:cs="Arial"/>
        </w:rPr>
        <w:t>Objetivos y vigencia del Plan</w:t>
      </w:r>
    </w:p>
    <w:p w14:paraId="6C232589" w14:textId="53541473" w:rsidR="005A746C" w:rsidRPr="005A746C" w:rsidRDefault="005A746C" w:rsidP="00430EC5">
      <w:pPr>
        <w:pStyle w:val="Prrafodelista"/>
        <w:numPr>
          <w:ilvl w:val="0"/>
          <w:numId w:val="26"/>
        </w:numPr>
        <w:rPr>
          <w:rFonts w:cs="Arial"/>
        </w:rPr>
      </w:pPr>
      <w:r w:rsidRPr="005A746C">
        <w:rPr>
          <w:rFonts w:cs="Arial"/>
        </w:rPr>
        <w:t>Metodología de la elaboración del Plan</w:t>
      </w:r>
    </w:p>
    <w:p w14:paraId="1B63E139" w14:textId="5BCA9B25" w:rsidR="005A746C" w:rsidRPr="005A746C" w:rsidRDefault="005A746C" w:rsidP="00430EC5">
      <w:pPr>
        <w:pStyle w:val="Prrafodelista"/>
        <w:numPr>
          <w:ilvl w:val="0"/>
          <w:numId w:val="26"/>
        </w:numPr>
        <w:rPr>
          <w:rFonts w:cs="Arial"/>
        </w:rPr>
      </w:pPr>
      <w:r w:rsidRPr="005A746C">
        <w:rPr>
          <w:rFonts w:cs="Arial"/>
        </w:rPr>
        <w:t>Diagnóstico de la situación de partida (marco legislativo aplicable, administración, distribución de competencias, descripción del ámbito del Plan, que comprende la Zonificación de Uso Turístico y recreativo y determinación de los lugares de interés turístico y recreativo, agentes implicados, análisis de la oferta y del flujo turístico)</w:t>
      </w:r>
    </w:p>
    <w:p w14:paraId="61C40320" w14:textId="1BE9663D" w:rsidR="005A746C" w:rsidRPr="005A746C" w:rsidRDefault="005A746C" w:rsidP="00430EC5">
      <w:pPr>
        <w:pStyle w:val="Prrafodelista"/>
        <w:numPr>
          <w:ilvl w:val="0"/>
          <w:numId w:val="26"/>
        </w:numPr>
        <w:rPr>
          <w:rFonts w:cs="Arial"/>
        </w:rPr>
      </w:pPr>
      <w:r w:rsidRPr="005A746C">
        <w:rPr>
          <w:rFonts w:cs="Arial"/>
        </w:rPr>
        <w:t>Criterios básicos de actuación</w:t>
      </w:r>
    </w:p>
    <w:p w14:paraId="37B8BE0A" w14:textId="4649780F" w:rsidR="005A746C" w:rsidRPr="005A746C" w:rsidRDefault="005A746C" w:rsidP="00430EC5">
      <w:pPr>
        <w:pStyle w:val="Prrafodelista"/>
        <w:numPr>
          <w:ilvl w:val="0"/>
          <w:numId w:val="26"/>
        </w:numPr>
        <w:rPr>
          <w:rFonts w:cs="Arial"/>
        </w:rPr>
      </w:pPr>
      <w:r w:rsidRPr="005A746C">
        <w:rPr>
          <w:rFonts w:cs="Arial"/>
        </w:rPr>
        <w:lastRenderedPageBreak/>
        <w:t>Lineamientos (de carácter general, relativos a la gestión de servicios turísticos relativos a la infraestructura y equipamiento, relativos al transporte y a los desplazamientos, relativos a la interpretación ambiental y la información, relativos a los guías y a promotores locales de turismo, relativos a la conducta y seguridad de los visitantes, relativos a la regulación y seguimiento de las actividades, relativos a la promoción, imagen y coordinación administrativa)</w:t>
      </w:r>
    </w:p>
    <w:p w14:paraId="455F5030" w14:textId="1665F47D" w:rsidR="005A746C" w:rsidRPr="005A746C" w:rsidRDefault="005A746C" w:rsidP="00430EC5">
      <w:pPr>
        <w:pStyle w:val="Prrafodelista"/>
        <w:numPr>
          <w:ilvl w:val="0"/>
          <w:numId w:val="26"/>
        </w:numPr>
        <w:rPr>
          <w:rFonts w:cs="Arial"/>
        </w:rPr>
      </w:pPr>
      <w:r w:rsidRPr="005A746C">
        <w:rPr>
          <w:rFonts w:cs="Arial"/>
        </w:rPr>
        <w:t>Programas (de divulgación y promoción, de interpretación, de información, de gestión local del turismo, de formación turística, de coordinación interinstitucional, de infraestructura y equipamiento, de monitoreo y evaluación)</w:t>
      </w:r>
    </w:p>
    <w:p w14:paraId="74941102" w14:textId="631DE9A2" w:rsidR="005A746C" w:rsidRPr="005A746C" w:rsidRDefault="005A746C" w:rsidP="00430EC5">
      <w:pPr>
        <w:pStyle w:val="Prrafodelista"/>
        <w:numPr>
          <w:ilvl w:val="0"/>
          <w:numId w:val="26"/>
        </w:numPr>
        <w:rPr>
          <w:rFonts w:cs="Arial"/>
        </w:rPr>
      </w:pPr>
      <w:r w:rsidRPr="005A746C">
        <w:rPr>
          <w:rFonts w:cs="Arial"/>
        </w:rPr>
        <w:t>Gestión y Administración (capacidad de carga o límite aceptable de cambio, planes de sitio e infraestructura y equipamiento, circuitos turísticos y formas de prestación de servicios turísticos, pautas de Contenido de contratos, competencias administrativas y de ejecución, aprobación e implementación del Plan, financiamiento e Inversiones)</w:t>
      </w:r>
    </w:p>
    <w:p w14:paraId="6F5D762E" w14:textId="75D18EBF" w:rsidR="005A746C" w:rsidRPr="005A746C" w:rsidRDefault="005A746C" w:rsidP="00430EC5">
      <w:pPr>
        <w:pStyle w:val="Prrafodelista"/>
        <w:numPr>
          <w:ilvl w:val="0"/>
          <w:numId w:val="26"/>
        </w:numPr>
        <w:rPr>
          <w:rFonts w:cs="Arial"/>
        </w:rPr>
      </w:pPr>
      <w:r w:rsidRPr="005A746C">
        <w:rPr>
          <w:rFonts w:cs="Arial"/>
        </w:rPr>
        <w:t>Estrategia de implementación del Plan de Uso Turístico</w:t>
      </w:r>
    </w:p>
    <w:p w14:paraId="6F8BB7AC" w14:textId="77777777" w:rsidR="005A746C" w:rsidRPr="00104A77" w:rsidRDefault="005A746C" w:rsidP="00430EC5">
      <w:pPr>
        <w:rPr>
          <w:rFonts w:cs="Arial"/>
        </w:rPr>
      </w:pPr>
      <w:r w:rsidRPr="00965A60">
        <w:rPr>
          <w:rFonts w:cs="Arial"/>
        </w:rPr>
        <w:t>Todo visitante que ingresa a un Área Natural Protegida con fines de turismo o recreación deberá abonar un pago por concepto de derecho de ingreso. Los recursos generados por este concepto deben ser invertidos en la conservación, recuperación, mantenimiento, seguridad y en la mejora de los servicios al visitante en el ANP que genera estos ingresos. El SERNANP podrá disponer de hasta un 30% de la recaudación que genera el pago por ingreso al ANP, para la conducción del SINANPE.</w:t>
      </w:r>
    </w:p>
    <w:p w14:paraId="5E123027" w14:textId="7A5409EA" w:rsidR="005A746C" w:rsidRPr="00965A60" w:rsidRDefault="005A746C" w:rsidP="00430EC5">
      <w:pPr>
        <w:pStyle w:val="Ttulo3"/>
        <w:rPr>
          <w:rFonts w:cs="Arial"/>
        </w:rPr>
      </w:pPr>
      <w:r w:rsidRPr="005A746C">
        <w:rPr>
          <w:rFonts w:ascii="Arial" w:hAnsi="Arial" w:cs="Arial"/>
        </w:rPr>
        <w:t xml:space="preserve">Actividades extractivas dentro de las </w:t>
      </w:r>
      <w:proofErr w:type="spellStart"/>
      <w:r w:rsidRPr="005A746C">
        <w:rPr>
          <w:rFonts w:ascii="Arial" w:hAnsi="Arial" w:cs="Arial"/>
        </w:rPr>
        <w:t>ANPs</w:t>
      </w:r>
      <w:proofErr w:type="spellEnd"/>
      <w:r w:rsidRPr="005A746C">
        <w:rPr>
          <w:rFonts w:ascii="Arial" w:hAnsi="Arial" w:cs="Arial"/>
        </w:rPr>
        <w:t xml:space="preserve"> y sus áreas de amortiguamiento</w:t>
      </w:r>
    </w:p>
    <w:p w14:paraId="7ACE2CF1" w14:textId="77777777" w:rsidR="005A746C" w:rsidRPr="00965A60" w:rsidRDefault="005A746C" w:rsidP="00430EC5">
      <w:pPr>
        <w:rPr>
          <w:rFonts w:cs="Arial"/>
        </w:rPr>
      </w:pPr>
      <w:r w:rsidRPr="00965A60">
        <w:rPr>
          <w:rFonts w:cs="Arial"/>
        </w:rPr>
        <w:t>El Estado es soberano sobre los recursos naturales y capaz de otorgar derechos a particulares sobre su utilización (Art. 66, Cap. II, Titulo III, C.P., 1993), siendo el MINAM el encargado de formular y proponer la política y las estrategias para promover su gestión racional (Decreto legislativo No. 1013, Título II, cap. I Art. 4.1).</w:t>
      </w:r>
    </w:p>
    <w:p w14:paraId="529F2584" w14:textId="77777777" w:rsidR="005A746C" w:rsidRPr="00965A60" w:rsidRDefault="005A746C" w:rsidP="00430EC5">
      <w:pPr>
        <w:rPr>
          <w:rFonts w:cs="Arial"/>
        </w:rPr>
      </w:pPr>
      <w:r w:rsidRPr="00965A60">
        <w:rPr>
          <w:rFonts w:cs="Arial"/>
        </w:rPr>
        <w:t>El aprovechamiento de recursos naturales en Áreas Naturales Protegidas sólo podrá ser autorizado si resulta compatible con la categoría, la zonificación asignada y el Plan Maestro del área. El aprovechamiento de recursos no debe perjudicar el cumplimiento de los fines para los cuales se ha establecido el área.</w:t>
      </w:r>
    </w:p>
    <w:p w14:paraId="3E6F1E7B" w14:textId="77777777" w:rsidR="005A746C" w:rsidRPr="00965A60" w:rsidRDefault="005A746C" w:rsidP="00430EC5">
      <w:pPr>
        <w:rPr>
          <w:rFonts w:cs="Arial"/>
        </w:rPr>
      </w:pPr>
      <w:r w:rsidRPr="00965A60">
        <w:rPr>
          <w:rFonts w:cs="Arial"/>
        </w:rPr>
        <w:t>En las áreas de uso directo como las Reservas Nacionales, el aprovechamiento de recursos naturales renovables se efectúa de acuerdo a la zonificación asignada, en base a un monitoreo adecuado y bajo las modalidades permitidas por la Ley, el Plan Director, el presente Reglamento, el Plan Maestro del área y el Plan de Manejo respectivo</w:t>
      </w:r>
    </w:p>
    <w:p w14:paraId="47F1333E" w14:textId="77777777" w:rsidR="005A746C" w:rsidRPr="00965A60" w:rsidRDefault="005A746C" w:rsidP="00430EC5">
      <w:pPr>
        <w:rPr>
          <w:rFonts w:cs="Arial"/>
        </w:rPr>
      </w:pPr>
      <w:r w:rsidRPr="00965A60">
        <w:rPr>
          <w:rFonts w:cs="Arial"/>
        </w:rPr>
        <w:t xml:space="preserve">El aprovechamiento de la fauna silvestre, sus productos y subproductos, al interior de las Áreas Naturales Protegidas se permite cuando sus poblaciones están en situación de ser utilizadas, y este uso resulta compatible, dependiendo de su categoría, el Plan Maestro, su zonificación y planes de manejo específicos. El aprovechamiento con fines comerciales sólo es permitido en </w:t>
      </w:r>
      <w:r w:rsidRPr="00965A60">
        <w:rPr>
          <w:rFonts w:cs="Arial"/>
        </w:rPr>
        <w:lastRenderedPageBreak/>
        <w:t>aquellas categorías de uso directo que expresamente lo permiten, como las reservas nacionales, cotos de caza, bosques de protección.</w:t>
      </w:r>
    </w:p>
    <w:p w14:paraId="0B47B435" w14:textId="77777777" w:rsidR="005A746C" w:rsidRPr="00965A60" w:rsidRDefault="005A746C" w:rsidP="00430EC5">
      <w:pPr>
        <w:rPr>
          <w:rFonts w:cs="Arial"/>
        </w:rPr>
      </w:pPr>
      <w:r w:rsidRPr="00965A60">
        <w:rPr>
          <w:rFonts w:cs="Arial"/>
        </w:rPr>
        <w:t xml:space="preserve">El aprovechamiento de recursos hidrobiológicos al interior de las </w:t>
      </w:r>
      <w:proofErr w:type="spellStart"/>
      <w:r w:rsidRPr="00965A60">
        <w:rPr>
          <w:rFonts w:cs="Arial"/>
        </w:rPr>
        <w:t>ANPs</w:t>
      </w:r>
      <w:proofErr w:type="spellEnd"/>
      <w:r w:rsidRPr="00965A60">
        <w:rPr>
          <w:rFonts w:cs="Arial"/>
        </w:rPr>
        <w:t xml:space="preserve"> se efectúa de acuerdo a su categoría, su Plan Maestro y su zonificación, bajo programas de Manejo Pesquero de carácter precautorio de competencia de la autoridad sectorial.  Esta actividad es monitoreada en coordinación entre las Direcciones Regionales de pesquería y las Jefaturas de las Áreas Naturales Protegidas.</w:t>
      </w:r>
    </w:p>
    <w:p w14:paraId="58D91132" w14:textId="77777777" w:rsidR="005A746C" w:rsidRPr="00965A60" w:rsidRDefault="005A746C" w:rsidP="00430EC5">
      <w:pPr>
        <w:rPr>
          <w:rFonts w:cs="Arial"/>
        </w:rPr>
      </w:pPr>
      <w:r w:rsidRPr="00965A60">
        <w:rPr>
          <w:rFonts w:cs="Arial"/>
        </w:rPr>
        <w:t>Previo al otorgamiento de autorización o concesión de acuicultura, la autoridad competente deberá requerir las zonas aptas para tal actividad. Se permite la pesca de subsistencia por las poblaciones locales, comunidades campesinas y nativas.</w:t>
      </w:r>
    </w:p>
    <w:p w14:paraId="1A7590FF" w14:textId="77777777" w:rsidR="005A746C" w:rsidRPr="00965A60" w:rsidRDefault="005A746C" w:rsidP="00430EC5">
      <w:pPr>
        <w:rPr>
          <w:rFonts w:cs="Arial"/>
        </w:rPr>
      </w:pPr>
      <w:r w:rsidRPr="00965A60">
        <w:rPr>
          <w:rFonts w:cs="Arial"/>
        </w:rPr>
        <w:t>La introducción de especies exóticas no está permitida, salvo si el Plan Maestro lo prevé a fin de respetar el desarrollo de actividades preexistentes al establecimiento del Área Natural Protegida, o por que la actividad constituye fuente de alimentación para las comunidades. En todos los caso está prohibida la introducción de especies exóticas en las zonas de protección estricta y silvestre.</w:t>
      </w:r>
    </w:p>
    <w:p w14:paraId="2B483458" w14:textId="77777777" w:rsidR="005A746C" w:rsidRPr="00965A60" w:rsidRDefault="005A746C" w:rsidP="00430EC5">
      <w:pPr>
        <w:rPr>
          <w:rFonts w:cs="Arial"/>
        </w:rPr>
      </w:pPr>
      <w:r w:rsidRPr="00965A60">
        <w:rPr>
          <w:rFonts w:cs="Arial"/>
        </w:rPr>
        <w:t>Está prohibida la extracción de mayor escala, ya sea marina o continental dentro de las Áreas Naturales Protegidas, cualquiera sea su nivel. El personal del INRENA, en el ámbito de un Área Natural Protegida, puede exigir la presentación del permiso de pesca correspondiente</w:t>
      </w:r>
    </w:p>
    <w:p w14:paraId="0C0CE62B" w14:textId="77777777" w:rsidR="005A746C" w:rsidRPr="00965A60" w:rsidRDefault="005A746C" w:rsidP="00430EC5">
      <w:pPr>
        <w:rPr>
          <w:rFonts w:cs="Arial"/>
        </w:rPr>
      </w:pPr>
      <w:r w:rsidRPr="00965A60">
        <w:rPr>
          <w:rFonts w:cs="Arial"/>
        </w:rPr>
        <w:t>Al interior de las Áreas Naturales Protegidas corresponde al INRENA proponer los proyectos de programas de manejo pesqueros por iniciativa propia o respaldando propuestas de las comunidades locales. Los Programas de Adecuación y Manejo Ambiental, Estudios de Impacto Ambiental y Declaraciones de Impacto Ambiental de actividades del sector pesquería cuyo ámbito de acción se superponga parcial o totalmente a un Área Natural Protegida, para su aprobación deben contar con la opinión técnica previa favorable del INRENA.</w:t>
      </w:r>
    </w:p>
    <w:p w14:paraId="65E6BD0F" w14:textId="37EEBB18" w:rsidR="005A746C" w:rsidRPr="005A746C" w:rsidRDefault="005A746C" w:rsidP="00430EC5">
      <w:pPr>
        <w:pStyle w:val="Ttulo3"/>
        <w:rPr>
          <w:rFonts w:ascii="Arial" w:hAnsi="Arial" w:cs="Arial"/>
        </w:rPr>
      </w:pPr>
      <w:r w:rsidRPr="005A746C">
        <w:rPr>
          <w:rFonts w:ascii="Arial" w:hAnsi="Arial" w:cs="Arial"/>
        </w:rPr>
        <w:t>Modalidades de Conservación de la Biodiversidad</w:t>
      </w:r>
    </w:p>
    <w:p w14:paraId="5FEFE68D" w14:textId="77777777" w:rsidR="005A746C" w:rsidRPr="00965A60" w:rsidRDefault="005A746C" w:rsidP="00430EC5">
      <w:pPr>
        <w:rPr>
          <w:rFonts w:cs="Arial"/>
        </w:rPr>
      </w:pPr>
      <w:r w:rsidRPr="00965A60">
        <w:rPr>
          <w:rFonts w:cs="Arial"/>
        </w:rPr>
        <w:t xml:space="preserve">Si bien las </w:t>
      </w:r>
      <w:proofErr w:type="spellStart"/>
      <w:r w:rsidRPr="00965A60">
        <w:rPr>
          <w:rFonts w:cs="Arial"/>
        </w:rPr>
        <w:t>ANPs</w:t>
      </w:r>
      <w:proofErr w:type="spellEnd"/>
      <w:r w:rsidRPr="00965A60">
        <w:rPr>
          <w:rFonts w:cs="Arial"/>
        </w:rPr>
        <w:t xml:space="preserve"> son un componente importante en las estrategias de conservación de la diversidad biológica en el ámbito nacional e internacional, existen otras modalidades de conservación. Estas combinan y articulan los esfuerzos del sector público y privado, fomentando actividades económicas lucrativas y sostenibles. Estas modalidades de conservación pueden realizarse en zonas de amortiguamiento para así proteger la integridad de las </w:t>
      </w:r>
      <w:proofErr w:type="spellStart"/>
      <w:r w:rsidRPr="00965A60">
        <w:rPr>
          <w:rFonts w:cs="Arial"/>
        </w:rPr>
        <w:t>ANPs</w:t>
      </w:r>
      <w:proofErr w:type="spellEnd"/>
      <w:r w:rsidRPr="00965A60">
        <w:rPr>
          <w:rFonts w:cs="Arial"/>
        </w:rPr>
        <w:t xml:space="preserve"> al disminuir las presiones sobre el área. </w:t>
      </w:r>
      <w:r>
        <w:rPr>
          <w:rFonts w:cs="Arial"/>
        </w:rPr>
        <w:t>Sin embargo, muchas de  estas modalidades de conservación requerirán de modificaciones para poder ser empleadas en el ámbito marino costero</w:t>
      </w:r>
    </w:p>
    <w:p w14:paraId="116CA3F7" w14:textId="77777777" w:rsidR="005A746C" w:rsidRPr="00965A60" w:rsidRDefault="005A746C" w:rsidP="00430EC5">
      <w:pPr>
        <w:rPr>
          <w:rFonts w:cs="Arial"/>
        </w:rPr>
      </w:pPr>
      <w:r w:rsidRPr="00965A60">
        <w:rPr>
          <w:rFonts w:cs="Arial"/>
        </w:rPr>
        <w:t>Entre las modalidades de conservación de la diversidad biológica se encuentran:</w:t>
      </w:r>
    </w:p>
    <w:p w14:paraId="0FDAEE0F" w14:textId="77777777" w:rsidR="005A746C" w:rsidRPr="00104A77" w:rsidRDefault="005A746C" w:rsidP="00430EC5">
      <w:pPr>
        <w:pStyle w:val="Prrafodelista"/>
        <w:numPr>
          <w:ilvl w:val="0"/>
          <w:numId w:val="22"/>
        </w:numPr>
        <w:spacing w:after="240"/>
        <w:rPr>
          <w:rFonts w:cs="Arial"/>
        </w:rPr>
      </w:pPr>
      <w:r w:rsidRPr="00104A77">
        <w:rPr>
          <w:rFonts w:cs="Arial"/>
        </w:rPr>
        <w:lastRenderedPageBreak/>
        <w:t>Concesiones para conservación: Zonas dedicadas a la conservación y aprovechamiento de recursos naturales, las actividades económicas están restringidas salvo autorización expresa.</w:t>
      </w:r>
    </w:p>
    <w:p w14:paraId="5CEB792F" w14:textId="77777777" w:rsidR="005A746C" w:rsidRPr="00104A77" w:rsidRDefault="005A746C" w:rsidP="00430EC5">
      <w:pPr>
        <w:pStyle w:val="Prrafodelista"/>
        <w:numPr>
          <w:ilvl w:val="0"/>
          <w:numId w:val="22"/>
        </w:numPr>
        <w:spacing w:after="240"/>
        <w:rPr>
          <w:rFonts w:cs="Arial"/>
        </w:rPr>
      </w:pPr>
      <w:r w:rsidRPr="00104A77">
        <w:rPr>
          <w:rFonts w:cs="Arial"/>
        </w:rPr>
        <w:t>Concesiones para ecoturismo: Su finalidad es realizar actividades turísticas a cambio del pago de derechos de aprovechamiento. El concesionario puede solicitar realizar otras actividades económicas.</w:t>
      </w:r>
    </w:p>
    <w:p w14:paraId="5094E1B5" w14:textId="77777777" w:rsidR="005A746C" w:rsidRPr="00104A77" w:rsidRDefault="005A746C" w:rsidP="00430EC5">
      <w:pPr>
        <w:pStyle w:val="Prrafodelista"/>
        <w:numPr>
          <w:ilvl w:val="0"/>
          <w:numId w:val="22"/>
        </w:numPr>
        <w:spacing w:after="240"/>
        <w:rPr>
          <w:rFonts w:cs="Arial"/>
        </w:rPr>
      </w:pPr>
      <w:r w:rsidRPr="00104A77">
        <w:rPr>
          <w:rFonts w:cs="Arial"/>
        </w:rPr>
        <w:t>Concesiones para áreas de manejo de fauna silvestre: Permiten implementar ambientes propicios para el desarrollo de poblaciones de especies autorizadas de fauna silvestre en su rango de distribución natural.</w:t>
      </w:r>
    </w:p>
    <w:p w14:paraId="7AA3AA3A" w14:textId="77777777" w:rsidR="005A746C" w:rsidRPr="00104A77" w:rsidRDefault="005A746C" w:rsidP="00430EC5">
      <w:pPr>
        <w:pStyle w:val="Prrafodelista"/>
        <w:numPr>
          <w:ilvl w:val="0"/>
          <w:numId w:val="22"/>
        </w:numPr>
        <w:spacing w:after="240"/>
        <w:rPr>
          <w:rFonts w:cs="Arial"/>
        </w:rPr>
      </w:pPr>
      <w:r w:rsidRPr="00104A77">
        <w:rPr>
          <w:rFonts w:cs="Arial"/>
        </w:rPr>
        <w:t>Zona intangible de cuenca: Esta figura restringe o limita el uso de los recursos naturales y el tipo las actividades económicas que puedan realizarse en un área particular. Sin embargo, no necesariamente tiene el mandato legal de identificarlas concretamente y tampoco de gestionarlas o administrarlas.</w:t>
      </w:r>
    </w:p>
    <w:p w14:paraId="73C66C3A" w14:textId="77777777" w:rsidR="005A746C" w:rsidRPr="00104A77" w:rsidRDefault="005A746C" w:rsidP="00430EC5">
      <w:pPr>
        <w:pStyle w:val="Prrafodelista"/>
        <w:numPr>
          <w:ilvl w:val="0"/>
          <w:numId w:val="22"/>
        </w:numPr>
        <w:spacing w:after="240"/>
        <w:rPr>
          <w:rFonts w:cs="Arial"/>
        </w:rPr>
      </w:pPr>
      <w:r w:rsidRPr="00104A77">
        <w:rPr>
          <w:rFonts w:cs="Arial"/>
        </w:rPr>
        <w:t xml:space="preserve">Zonas de </w:t>
      </w:r>
      <w:proofErr w:type="spellStart"/>
      <w:r w:rsidRPr="00104A77">
        <w:rPr>
          <w:rFonts w:cs="Arial"/>
        </w:rPr>
        <w:t>agrobiodiversidad</w:t>
      </w:r>
      <w:proofErr w:type="spellEnd"/>
      <w:r w:rsidRPr="00104A77">
        <w:rPr>
          <w:rFonts w:cs="Arial"/>
        </w:rPr>
        <w:t xml:space="preserve">: Es un área de manejo diferenciado donde se promueve el uso tradicional, la gestión comunitaria y la conservación de recursos naturales nativos y silvestres. En estas Zonas, las comunidades campesinas, comunidades nativas, agricultores y sus asociaciones realizan actividades </w:t>
      </w:r>
      <w:proofErr w:type="spellStart"/>
      <w:r w:rsidRPr="00104A77">
        <w:rPr>
          <w:rFonts w:cs="Arial"/>
        </w:rPr>
        <w:t>socioproductivas</w:t>
      </w:r>
      <w:proofErr w:type="spellEnd"/>
      <w:r w:rsidRPr="00104A77">
        <w:rPr>
          <w:rFonts w:cs="Arial"/>
        </w:rPr>
        <w:t xml:space="preserve"> orientadas principalmente al autoconsumo con algún grado de relacionamiento con mercados locales o regionales.</w:t>
      </w:r>
    </w:p>
    <w:p w14:paraId="1E32E256" w14:textId="77777777" w:rsidR="005A746C" w:rsidRPr="00104A77" w:rsidRDefault="005A746C" w:rsidP="00430EC5">
      <w:pPr>
        <w:pStyle w:val="Prrafodelista"/>
        <w:numPr>
          <w:ilvl w:val="0"/>
          <w:numId w:val="22"/>
        </w:numPr>
        <w:spacing w:after="240"/>
        <w:rPr>
          <w:rFonts w:cs="Arial"/>
        </w:rPr>
      </w:pPr>
      <w:r w:rsidRPr="00104A77">
        <w:rPr>
          <w:rFonts w:cs="Arial"/>
        </w:rPr>
        <w:t>Área de Conservación Regional y Privada: Espacios continentales y/o marinos del territorio nacional, expresamente reconocidos y declarados como tales, incluyendo sus categorías y zonificaciones, para conservar la diversidad biológica y demás valores asociados de interés cultural, paisajístico y científico, así como por su contribución al desarrollo sostenible del país.</w:t>
      </w:r>
    </w:p>
    <w:p w14:paraId="2121BB0F" w14:textId="77777777" w:rsidR="005A746C" w:rsidRPr="00104A77" w:rsidRDefault="005A746C" w:rsidP="00430EC5">
      <w:pPr>
        <w:pStyle w:val="Prrafodelista"/>
        <w:numPr>
          <w:ilvl w:val="0"/>
          <w:numId w:val="22"/>
        </w:numPr>
        <w:spacing w:after="240"/>
        <w:rPr>
          <w:rFonts w:cs="Arial"/>
        </w:rPr>
      </w:pPr>
      <w:r w:rsidRPr="00104A77">
        <w:rPr>
          <w:rFonts w:cs="Arial"/>
        </w:rPr>
        <w:t>Autorizaciones para realizar actividades de poblamiento o repoblamiento: Zonas en donde se permite el aprovechamiento y conservación de recursos con fines extractivos. Estas zonas son otorgadas por la Dirección General de Acuicultura a Organizaciones Sociales de Pescadores artesanales para realizar actividades de poblamiento o repoblamiento de recursos hidrobiológicos. Los titulares de la autorización tienen la posibilidad de excluir a terceros.</w:t>
      </w:r>
    </w:p>
    <w:p w14:paraId="261202AC" w14:textId="77777777" w:rsidR="005A746C" w:rsidRPr="00104A77" w:rsidRDefault="005A746C" w:rsidP="00430EC5">
      <w:pPr>
        <w:pStyle w:val="Prrafodelista"/>
        <w:numPr>
          <w:ilvl w:val="0"/>
          <w:numId w:val="22"/>
        </w:numPr>
        <w:spacing w:after="240"/>
        <w:rPr>
          <w:rFonts w:cs="Arial"/>
        </w:rPr>
      </w:pPr>
      <w:r w:rsidRPr="00104A77">
        <w:rPr>
          <w:rFonts w:cs="Arial"/>
        </w:rPr>
        <w:t xml:space="preserve">Servidumbres ecológicas, Acuerdos de gestión, Acuerdo de conservación: Esta figura es posible en terrenos privados. Los dueños de las tierras limitan voluntariamente el ejercicio de sus derechos de propiedad para garantizar la prestación de un servicio </w:t>
      </w:r>
      <w:proofErr w:type="spellStart"/>
      <w:r w:rsidRPr="00104A77">
        <w:rPr>
          <w:rFonts w:cs="Arial"/>
        </w:rPr>
        <w:t>ecologico</w:t>
      </w:r>
      <w:proofErr w:type="spellEnd"/>
      <w:r w:rsidRPr="00104A77">
        <w:rPr>
          <w:rFonts w:cs="Arial"/>
        </w:rPr>
        <w:t>.</w:t>
      </w:r>
    </w:p>
    <w:p w14:paraId="1BFD3A42" w14:textId="77777777" w:rsidR="005A746C" w:rsidRPr="00104A77" w:rsidRDefault="005A746C" w:rsidP="00430EC5">
      <w:pPr>
        <w:pStyle w:val="Prrafodelista"/>
        <w:numPr>
          <w:ilvl w:val="0"/>
          <w:numId w:val="22"/>
        </w:numPr>
        <w:spacing w:after="240"/>
        <w:rPr>
          <w:rFonts w:cs="Arial"/>
        </w:rPr>
      </w:pPr>
      <w:r w:rsidRPr="00104A77">
        <w:rPr>
          <w:rFonts w:cs="Arial"/>
        </w:rPr>
        <w:t xml:space="preserve">Área de Conservación Ambiental: La definen los Gobiernos Locales, estableciendo un área en donde las autoridades municipales o distritales se </w:t>
      </w:r>
      <w:proofErr w:type="spellStart"/>
      <w:r w:rsidRPr="00104A77">
        <w:rPr>
          <w:rFonts w:cs="Arial"/>
        </w:rPr>
        <w:t>compromenten</w:t>
      </w:r>
      <w:proofErr w:type="spellEnd"/>
      <w:r w:rsidRPr="00104A77">
        <w:rPr>
          <w:rFonts w:cs="Arial"/>
        </w:rPr>
        <w:t xml:space="preserve"> a gestionarla con fines de conservación.</w:t>
      </w:r>
    </w:p>
    <w:p w14:paraId="5CB0AB2D" w14:textId="77777777" w:rsidR="005A746C" w:rsidRPr="00965A60" w:rsidRDefault="005A746C" w:rsidP="00430EC5">
      <w:pPr>
        <w:rPr>
          <w:rFonts w:cs="Arial"/>
        </w:rPr>
      </w:pPr>
      <w:r w:rsidRPr="00965A60">
        <w:rPr>
          <w:rFonts w:cs="Arial"/>
        </w:rPr>
        <w:t>Adicionalmente existen otras herramientas y reglamentos para fomentar la conservación de la diversidad biológica y su aprovechamiento sostenible. Entre estos se encuentra:</w:t>
      </w:r>
    </w:p>
    <w:p w14:paraId="00A3B5D8" w14:textId="77777777" w:rsidR="005A746C" w:rsidRPr="00934565" w:rsidRDefault="005A746C" w:rsidP="00430EC5">
      <w:pPr>
        <w:pStyle w:val="Prrafodelista"/>
        <w:numPr>
          <w:ilvl w:val="0"/>
          <w:numId w:val="19"/>
        </w:numPr>
        <w:spacing w:after="240"/>
        <w:rPr>
          <w:rFonts w:cs="Arial"/>
        </w:rPr>
      </w:pPr>
      <w:r w:rsidRPr="00104A77">
        <w:rPr>
          <w:rFonts w:cs="Arial"/>
        </w:rPr>
        <w:lastRenderedPageBreak/>
        <w:t>Zonificación Ecológica Económica</w:t>
      </w:r>
      <w:r>
        <w:rPr>
          <w:rFonts w:cs="Arial"/>
        </w:rPr>
        <w:t xml:space="preserve"> (ZEE)</w:t>
      </w:r>
      <w:r w:rsidRPr="00104A77">
        <w:rPr>
          <w:rFonts w:cs="Arial"/>
        </w:rPr>
        <w:t>: Proceso dinámico y flexible para la identificación de diferentes alternativas de uso sostenible de un territorio determinado, basado en la evaluación de sus potencialidades y limitaciones con criterios físicos, biológicos, sociales, económicos y culturales. Una vez aprobada la ZEE, se convierte en un instrumento técnico y orientador del uso sostenible de un territorio y de sus recursos naturales. Incluye otros espacios y modalidades de protección considerada en otras normas sectoriales. Pueden aplicarse a tres niveles: macro, meso y micro.</w:t>
      </w:r>
      <w:r>
        <w:rPr>
          <w:rFonts w:cs="Arial"/>
        </w:rPr>
        <w:t xml:space="preserve"> Las categorías de esta zonificación son</w:t>
      </w:r>
      <w:r w:rsidRPr="00104A77">
        <w:rPr>
          <w:rFonts w:cs="Arial"/>
        </w:rPr>
        <w:t>: zonas productivas, zonas de protección y conservación ecológica, zonas de tratamiento especial, zonas de recuperación y zonas urbanas/industriales</w:t>
      </w:r>
    </w:p>
    <w:p w14:paraId="2383C070" w14:textId="77777777" w:rsidR="005A746C" w:rsidRPr="00104A77" w:rsidRDefault="005A746C" w:rsidP="00430EC5">
      <w:pPr>
        <w:pStyle w:val="Prrafodelista"/>
        <w:numPr>
          <w:ilvl w:val="0"/>
          <w:numId w:val="19"/>
        </w:numPr>
        <w:spacing w:after="240"/>
        <w:rPr>
          <w:rFonts w:cs="Arial"/>
        </w:rPr>
      </w:pPr>
      <w:r w:rsidRPr="00104A77">
        <w:rPr>
          <w:rFonts w:cs="Arial"/>
        </w:rPr>
        <w:t>Protección de islas y puntas guaneras: En estas áreas, inclusive antes del establecimiento de la RNSIIPG estaba prohibida la caza de especies de fauna silvestre en estos espacios. Más aún, se restringen también las actividades deportivas motorizadas, la pesca y la extracción marina con embarcaciones motorizadas dentro de una franja de dos millas marinas a partir de las orillas de las reservas costeras y de las islas y puntas.</w:t>
      </w:r>
    </w:p>
    <w:p w14:paraId="107A5F89" w14:textId="77777777" w:rsidR="005A746C" w:rsidRPr="00104A77" w:rsidRDefault="005A746C" w:rsidP="00430EC5">
      <w:pPr>
        <w:pStyle w:val="Prrafodelista"/>
        <w:numPr>
          <w:ilvl w:val="0"/>
          <w:numId w:val="19"/>
        </w:numPr>
        <w:spacing w:after="240"/>
        <w:rPr>
          <w:rFonts w:cs="Arial"/>
        </w:rPr>
      </w:pPr>
      <w:r w:rsidRPr="00104A77">
        <w:rPr>
          <w:rFonts w:cs="Arial"/>
        </w:rPr>
        <w:t>Franja marina (50m)/islas/cauces: Prohibición de verter o emitir cualquier residuo, sólido, líquido o gaseoso que pueda contaminar las aguas, causando daños o poniendo en peligro la salud humana o el normal desarrollo de la flora o fauna comprometiendo su empleo para otros usos. Los usos de las aguas son aleatorios y se encuentran condicionados a las disponibilidades del recurso y a las necesidades reales de objeto al que se destinen y deberán ejercerse en función del interés social y el desarrollo del país.</w:t>
      </w:r>
    </w:p>
    <w:p w14:paraId="41AFB764" w14:textId="77777777" w:rsidR="005A746C" w:rsidRPr="00104A77" w:rsidRDefault="005A746C" w:rsidP="00430EC5">
      <w:pPr>
        <w:pStyle w:val="Prrafodelista"/>
        <w:numPr>
          <w:ilvl w:val="0"/>
          <w:numId w:val="19"/>
        </w:numPr>
        <w:spacing w:after="240"/>
        <w:rPr>
          <w:rFonts w:cs="Arial"/>
        </w:rPr>
      </w:pPr>
      <w:r w:rsidRPr="00104A77">
        <w:rPr>
          <w:rFonts w:cs="Arial"/>
        </w:rPr>
        <w:t xml:space="preserve">Zona reservada para la actividad pesquera artesanal y de menor escala (5 millas): prohibido usar artes y aparejos de pesca que modifiquen las condiciones </w:t>
      </w:r>
      <w:proofErr w:type="spellStart"/>
      <w:r w:rsidRPr="00104A77">
        <w:rPr>
          <w:rFonts w:cs="Arial"/>
        </w:rPr>
        <w:t>bioecologicas</w:t>
      </w:r>
      <w:proofErr w:type="spellEnd"/>
    </w:p>
    <w:p w14:paraId="0D1B4465" w14:textId="77777777" w:rsidR="005A746C" w:rsidRPr="00104A77" w:rsidRDefault="005A746C" w:rsidP="00430EC5">
      <w:pPr>
        <w:pStyle w:val="Prrafodelista"/>
        <w:numPr>
          <w:ilvl w:val="0"/>
          <w:numId w:val="19"/>
        </w:numPr>
        <w:spacing w:after="240"/>
        <w:rPr>
          <w:rFonts w:cs="Arial"/>
        </w:rPr>
      </w:pPr>
      <w:r w:rsidRPr="00104A77">
        <w:rPr>
          <w:rFonts w:cs="Arial"/>
        </w:rPr>
        <w:t>Zonas de reservas pesqueras: pueden incluir prohibiciones o limitaciones para realizar actividades de procesamiento pesquero, en función de la disponibilidad de los recursos hidrobiológicos, de la capacidad de producción de los establecimientos industriales existentes, de la protección del medio ambiente y de las áreas reservadas por Ley.</w:t>
      </w:r>
    </w:p>
    <w:p w14:paraId="6A1B9661" w14:textId="77777777" w:rsidR="005A746C" w:rsidRPr="00104A77" w:rsidRDefault="005A746C" w:rsidP="00430EC5">
      <w:pPr>
        <w:pStyle w:val="Prrafodelista"/>
        <w:numPr>
          <w:ilvl w:val="0"/>
          <w:numId w:val="19"/>
        </w:numPr>
        <w:spacing w:after="240"/>
        <w:rPr>
          <w:rFonts w:cs="Arial"/>
        </w:rPr>
      </w:pPr>
      <w:r w:rsidRPr="00104A77">
        <w:rPr>
          <w:rFonts w:cs="Arial"/>
        </w:rPr>
        <w:t>Áreas de manejo: administración y manejo acuícola de RRNN</w:t>
      </w:r>
    </w:p>
    <w:p w14:paraId="2D4417BF" w14:textId="5D2D83D9" w:rsidR="0098710A" w:rsidRDefault="0098710A" w:rsidP="00547565">
      <w:pPr>
        <w:pStyle w:val="Ttulo2"/>
        <w:rPr>
          <w:lang w:eastAsia="ja-JP"/>
        </w:rPr>
      </w:pPr>
    </w:p>
    <w:p w14:paraId="76185364" w14:textId="77777777" w:rsidR="006778F2" w:rsidRPr="006778F2" w:rsidRDefault="006778F2" w:rsidP="006778F2"/>
    <w:p w14:paraId="6EC8936E" w14:textId="3094F1DD" w:rsidR="00547565" w:rsidRPr="00A27DD6" w:rsidRDefault="0098710A" w:rsidP="006778F2">
      <w:pPr>
        <w:pStyle w:val="Ttulo2"/>
        <w:pageBreakBefore/>
        <w:rPr>
          <w:lang w:eastAsia="ja-JP"/>
        </w:rPr>
      </w:pPr>
      <w:bookmarkStart w:id="5" w:name="_Toc299554790"/>
      <w:r w:rsidRPr="00A27DD6">
        <w:rPr>
          <w:lang w:eastAsia="ja-JP"/>
        </w:rPr>
        <w:lastRenderedPageBreak/>
        <w:t xml:space="preserve">Anexo </w:t>
      </w:r>
      <w:r>
        <w:rPr>
          <w:lang w:eastAsia="ja-JP"/>
        </w:rPr>
        <w:t>2</w:t>
      </w:r>
      <w:r w:rsidRPr="00A27DD6">
        <w:rPr>
          <w:lang w:eastAsia="ja-JP"/>
        </w:rPr>
        <w:t xml:space="preserve">: </w:t>
      </w:r>
      <w:r w:rsidR="00547565" w:rsidRPr="00A27DD6">
        <w:rPr>
          <w:lang w:eastAsia="ja-JP"/>
        </w:rPr>
        <w:t>Definiciones básicas en el Presupuestos por Resultados</w:t>
      </w:r>
      <w:bookmarkEnd w:id="3"/>
      <w:r w:rsidR="00547565" w:rsidRPr="00A27DD6">
        <w:rPr>
          <w:lang w:eastAsia="ja-JP"/>
        </w:rPr>
        <w:t xml:space="preserve"> (PpR)</w:t>
      </w:r>
      <w:r w:rsidR="00547565" w:rsidRPr="00A27DD6">
        <w:rPr>
          <w:vertAlign w:val="superscript"/>
          <w:lang w:eastAsia="ja-JP"/>
        </w:rPr>
        <w:footnoteReference w:id="1"/>
      </w:r>
      <w:bookmarkEnd w:id="5"/>
    </w:p>
    <w:p w14:paraId="1FCCCF03" w14:textId="77777777" w:rsidR="00547565" w:rsidRPr="007D0E63" w:rsidRDefault="00547565" w:rsidP="00547565">
      <w:pPr>
        <w:rPr>
          <w:rFonts w:cs="Arial"/>
          <w:lang w:val="es-PE"/>
        </w:rPr>
      </w:pPr>
      <w:r w:rsidRPr="007D0E63">
        <w:rPr>
          <w:rFonts w:cs="Arial"/>
          <w:lang w:val="es-PE"/>
        </w:rPr>
        <w:t>Se espera que la aplicación del PpR , en base a un conjunto de información generada sobre los productos y resultados, así como de procesos y de intervenciones, se constituyan en una herramienta para la toma de decisiones a nivel de las políticas públicas y al nivel de la gestión pública. En este sentido, se presentan los conceptos básicos considerados en el esquema de Presupuesto por Resultados.</w:t>
      </w:r>
    </w:p>
    <w:p w14:paraId="0F2E56DF" w14:textId="77777777" w:rsidR="00547565" w:rsidRPr="007D0E63" w:rsidRDefault="00547565" w:rsidP="00547565">
      <w:pPr>
        <w:rPr>
          <w:rFonts w:cs="Arial"/>
          <w:lang w:val="es-PE"/>
        </w:rPr>
      </w:pPr>
      <w:r w:rsidRPr="007D0E63">
        <w:rPr>
          <w:rFonts w:cs="Arial"/>
          <w:b/>
          <w:bCs/>
          <w:u w:val="single"/>
          <w:lang w:val="es-MX"/>
        </w:rPr>
        <w:t xml:space="preserve">Resultado Final:  </w:t>
      </w:r>
    </w:p>
    <w:p w14:paraId="7FC76600" w14:textId="77777777" w:rsidR="00547565" w:rsidRPr="007D0E63" w:rsidRDefault="00547565" w:rsidP="00547565">
      <w:pPr>
        <w:rPr>
          <w:rFonts w:cs="Arial"/>
          <w:lang w:val="es-PE"/>
        </w:rPr>
      </w:pPr>
      <w:r w:rsidRPr="007D0E63">
        <w:rPr>
          <w:rFonts w:cs="Arial"/>
          <w:lang w:val="es-ES"/>
        </w:rPr>
        <w:t xml:space="preserve">Proyecta el cambio en las condiciones, cualidades o características inherentes a una población identificada, en el entorno en el que se desenvuelve o en las organizaciones que la sirven. Corresponde a un objetivo de política nacional. </w:t>
      </w:r>
      <w:r w:rsidRPr="007D0E63">
        <w:rPr>
          <w:rFonts w:cs="Arial"/>
          <w:lang w:val="es-PE"/>
        </w:rPr>
        <w:t xml:space="preserve">y puede considerarse la existencia de </w:t>
      </w:r>
      <w:r w:rsidRPr="007D0E63">
        <w:rPr>
          <w:rFonts w:cs="Arial"/>
        </w:rPr>
        <w:t xml:space="preserve">uno o más Programas Presupuestales y/o productos de Programas Presupuestales que compartan un mismo Resultado Final, así como, un Programa Presupuestal que corresponde a más de un Resultado Final </w:t>
      </w:r>
    </w:p>
    <w:p w14:paraId="1FA108A9" w14:textId="77777777" w:rsidR="00547565" w:rsidRPr="007D0E63" w:rsidRDefault="00547565" w:rsidP="00547565">
      <w:pPr>
        <w:rPr>
          <w:rFonts w:cs="Arial"/>
          <w:b/>
          <w:bCs/>
          <w:u w:val="single"/>
          <w:lang w:val="es-MX"/>
        </w:rPr>
      </w:pPr>
      <w:r w:rsidRPr="007D0E63">
        <w:rPr>
          <w:rFonts w:cs="Arial"/>
          <w:b/>
          <w:bCs/>
          <w:u w:val="single"/>
          <w:lang w:val="es-MX"/>
        </w:rPr>
        <w:t xml:space="preserve">Resultado Específico: </w:t>
      </w:r>
    </w:p>
    <w:p w14:paraId="7FD5FC34" w14:textId="77777777" w:rsidR="00547565" w:rsidRPr="007D0E63" w:rsidRDefault="00547565" w:rsidP="00547565">
      <w:pPr>
        <w:rPr>
          <w:rFonts w:cs="Arial"/>
          <w:lang w:val="es-PE"/>
        </w:rPr>
      </w:pPr>
      <w:r w:rsidRPr="007D0E63">
        <w:rPr>
          <w:rFonts w:cs="Arial"/>
          <w:lang w:val="es-ES"/>
        </w:rPr>
        <w:t>Es el cambio que se busca alcanzar para solucionar un problema identificado sobre una población objetivo, el cual a su vez contribuye al logro de un resultado final. Este resultado específico no constituye un fin en sí mismo.</w:t>
      </w:r>
      <w:r w:rsidRPr="007D0E63">
        <w:rPr>
          <w:rFonts w:cs="Arial"/>
          <w:lang w:val="es-PE"/>
        </w:rPr>
        <w:t xml:space="preserve"> Además, c</w:t>
      </w:r>
      <w:r w:rsidRPr="007D0E63">
        <w:rPr>
          <w:rFonts w:cs="Arial"/>
        </w:rPr>
        <w:t>abe señalar, que un programa presupuestal sólo tiene un resultado específico.</w:t>
      </w:r>
    </w:p>
    <w:p w14:paraId="4F395BAA" w14:textId="77777777" w:rsidR="00547565" w:rsidRPr="007D0E63" w:rsidRDefault="00547565" w:rsidP="00547565">
      <w:pPr>
        <w:rPr>
          <w:rFonts w:cs="Arial"/>
          <w:b/>
          <w:bCs/>
          <w:u w:val="single"/>
          <w:lang w:val="es-MX"/>
        </w:rPr>
      </w:pPr>
      <w:r w:rsidRPr="007D0E63">
        <w:rPr>
          <w:rFonts w:cs="Arial"/>
          <w:b/>
          <w:bCs/>
          <w:u w:val="single"/>
          <w:lang w:val="es-MX"/>
        </w:rPr>
        <w:t xml:space="preserve">Categoría Presupuestaria: </w:t>
      </w:r>
    </w:p>
    <w:p w14:paraId="667E5D80" w14:textId="77777777" w:rsidR="00547565" w:rsidRPr="007D0E63" w:rsidRDefault="00547565" w:rsidP="00547565">
      <w:pPr>
        <w:rPr>
          <w:rFonts w:cs="Arial"/>
        </w:rPr>
      </w:pPr>
      <w:r w:rsidRPr="007D0E63">
        <w:rPr>
          <w:rFonts w:cs="Arial"/>
        </w:rPr>
        <w:t>Es un criterio de clasificación del gasto presupuestal. Las categorías presupuestarias, como parte de la estructura programática, son Programa Presupuestal, Acciones Centrales, y Asignaciones Presupuestarias que no resultan en Productos (APNOP). Estas categorías se definen y se ubican en la estructura programática, tal como se muestra:</w:t>
      </w:r>
    </w:p>
    <w:p w14:paraId="18D5E20D" w14:textId="77777777" w:rsidR="00547565" w:rsidRPr="007D0E63" w:rsidRDefault="00547565" w:rsidP="00547565">
      <w:pPr>
        <w:rPr>
          <w:rFonts w:cs="Arial"/>
          <w:b/>
          <w:bCs/>
          <w:color w:val="1A1718"/>
          <w:lang w:val="es-ES"/>
        </w:rPr>
      </w:pPr>
      <w:r w:rsidRPr="007D0E63">
        <w:rPr>
          <w:rFonts w:cs="Arial"/>
          <w:b/>
          <w:bCs/>
          <w:u w:val="single"/>
          <w:lang w:val="es-MX"/>
        </w:rPr>
        <w:t>Programa Presupuestal:</w:t>
      </w:r>
      <w:r w:rsidRPr="007D0E63">
        <w:rPr>
          <w:rFonts w:cs="Arial"/>
          <w:b/>
          <w:bCs/>
          <w:color w:val="1A1718"/>
          <w:lang w:val="es-ES"/>
        </w:rPr>
        <w:t xml:space="preserve"> </w:t>
      </w:r>
    </w:p>
    <w:p w14:paraId="604DCB70" w14:textId="77777777" w:rsidR="00547565" w:rsidRPr="007D0E63" w:rsidRDefault="00547565" w:rsidP="00547565">
      <w:pPr>
        <w:rPr>
          <w:rFonts w:cs="Arial"/>
        </w:rPr>
      </w:pPr>
      <w:r w:rsidRPr="007D0E63">
        <w:rPr>
          <w:rFonts w:cs="Arial"/>
        </w:rPr>
        <w:t>En concordancia con lo señalado por el numeral 79.3 del artículo 79 del Texto Único Ordenado de la Ley No 28411, Ley General del Sistema Nacional de Presupuesto, se entiende por Programa Presupuestal a la categoría que constituye un instrumento del Presupuesto por Resultados, y que es una unidad de programación de las acciones de las entidades públicas, las que integradas y articuladas se orientan a proveer productos para lograr un Resultado Específico en la población y así contribuir al logro de un Resultado Final asociado a un objetivo de política pública.</w:t>
      </w:r>
    </w:p>
    <w:p w14:paraId="238262CD" w14:textId="77777777" w:rsidR="00547565" w:rsidRPr="007D0E63" w:rsidRDefault="00547565" w:rsidP="00547565">
      <w:pPr>
        <w:rPr>
          <w:rFonts w:cs="Arial"/>
          <w:b/>
          <w:bCs/>
          <w:u w:val="single"/>
          <w:lang w:val="es-MX"/>
        </w:rPr>
      </w:pPr>
      <w:r w:rsidRPr="007D0E63">
        <w:rPr>
          <w:rFonts w:cs="Arial"/>
          <w:b/>
          <w:bCs/>
          <w:u w:val="single"/>
          <w:lang w:val="es-MX"/>
        </w:rPr>
        <w:t xml:space="preserve">Acciones Centrales: </w:t>
      </w:r>
    </w:p>
    <w:p w14:paraId="5C152784" w14:textId="77777777" w:rsidR="00547565" w:rsidRPr="007D0E63" w:rsidRDefault="00547565" w:rsidP="00547565">
      <w:pPr>
        <w:rPr>
          <w:rFonts w:cs="Arial"/>
        </w:rPr>
      </w:pPr>
      <w:r w:rsidRPr="007D0E63">
        <w:rPr>
          <w:rFonts w:cs="Arial"/>
        </w:rPr>
        <w:lastRenderedPageBreak/>
        <w:t xml:space="preserve">Comprende a las actividades orientadas a la gestión de los recursos humanos, materiales y financieros de la entidad, que contribuyen de manera transversal e indivisible al logro de los resultados de los PP (a los que se encuentre articulada la entidad) y de otras actividades de la entidad que no conforman los PP. Esta categoría podrá incluir proyectos no vinculados a los resultados de un PP.  Aquellas unidades ejecutoras vinculadas a un Resultado Específico, y que por tanto, todas sus acciones correspondan a un PP, no deberán tener Acciones Centrales. </w:t>
      </w:r>
    </w:p>
    <w:p w14:paraId="3299D303" w14:textId="77777777" w:rsidR="00547565" w:rsidRPr="007D0E63" w:rsidRDefault="00547565" w:rsidP="00547565">
      <w:pPr>
        <w:rPr>
          <w:rFonts w:cs="Arial"/>
        </w:rPr>
      </w:pPr>
      <w:r w:rsidRPr="007D0E63">
        <w:rPr>
          <w:rFonts w:cs="Arial"/>
          <w:b/>
          <w:bCs/>
          <w:u w:val="single"/>
          <w:lang w:val="es-MX"/>
        </w:rPr>
        <w:t>Asignaciones Presupuestarias que No resultan en Productos (APNOP)</w:t>
      </w:r>
      <w:r w:rsidRPr="007D0E63">
        <w:rPr>
          <w:rFonts w:cs="Arial"/>
          <w:b/>
          <w:u w:val="single"/>
          <w:lang w:val="es-MX"/>
        </w:rPr>
        <w:t>:</w:t>
      </w:r>
      <w:r w:rsidRPr="007D0E63">
        <w:rPr>
          <w:rFonts w:cs="Arial"/>
        </w:rPr>
        <w:t xml:space="preserve"> </w:t>
      </w:r>
    </w:p>
    <w:p w14:paraId="5240EEAF" w14:textId="77777777" w:rsidR="00547565" w:rsidRPr="007D0E63" w:rsidRDefault="00547565" w:rsidP="00547565">
      <w:pPr>
        <w:rPr>
          <w:rFonts w:cs="Arial"/>
        </w:rPr>
      </w:pPr>
      <w:r w:rsidRPr="007D0E63">
        <w:rPr>
          <w:rFonts w:cs="Arial"/>
        </w:rPr>
        <w:t xml:space="preserve">Categoría que comprende las actividades para la atención de una finalidad específica de la entidad, que no resulta en la entrega de un producto a una población determinada. En el marco de la progresividad de la implementación de los PP, esta categoría también podrá incluir proyectos e intervenciones sobre la población que aún no hayan sido identificadas como parte de un PP. </w:t>
      </w:r>
    </w:p>
    <w:p w14:paraId="20118C30" w14:textId="77777777" w:rsidR="00547565" w:rsidRPr="007D0E63" w:rsidRDefault="00547565" w:rsidP="00547565">
      <w:pPr>
        <w:rPr>
          <w:rFonts w:cs="Arial"/>
        </w:rPr>
      </w:pPr>
    </w:p>
    <w:p w14:paraId="5C3BD465" w14:textId="1E4410BA" w:rsidR="00547565" w:rsidRPr="007D0E63" w:rsidRDefault="00547565" w:rsidP="006778F2">
      <w:pPr>
        <w:pStyle w:val="Ttulo2"/>
        <w:pageBreakBefore/>
        <w:rPr>
          <w:rFonts w:cs="Arial"/>
        </w:rPr>
      </w:pPr>
      <w:bookmarkStart w:id="6" w:name="_Toc299554791"/>
      <w:r w:rsidRPr="007D0E63">
        <w:rPr>
          <w:rFonts w:cs="Arial"/>
        </w:rPr>
        <w:lastRenderedPageBreak/>
        <w:t xml:space="preserve">Anexo </w:t>
      </w:r>
      <w:r w:rsidR="0098710A">
        <w:rPr>
          <w:rFonts w:cs="Arial"/>
        </w:rPr>
        <w:t>3</w:t>
      </w:r>
      <w:r w:rsidRPr="007D0E63">
        <w:rPr>
          <w:rFonts w:cs="Arial"/>
        </w:rPr>
        <w:t xml:space="preserve">: </w:t>
      </w:r>
      <w:r w:rsidRPr="007D0E63">
        <w:rPr>
          <w:rFonts w:cs="Arial"/>
          <w:lang w:val="es-ES" w:eastAsia="ja-JP"/>
        </w:rPr>
        <w:t>Implementación del PpR</w:t>
      </w:r>
      <w:bookmarkEnd w:id="6"/>
    </w:p>
    <w:p w14:paraId="7E50010D" w14:textId="5179EDB0" w:rsidR="00547565" w:rsidRPr="007D0E63" w:rsidRDefault="00547565" w:rsidP="00547565">
      <w:pPr>
        <w:rPr>
          <w:rFonts w:cs="Arial"/>
          <w:szCs w:val="20"/>
          <w:lang w:val="es-PE"/>
        </w:rPr>
      </w:pPr>
      <w:r w:rsidRPr="007D0E63">
        <w:rPr>
          <w:rFonts w:cs="Arial"/>
          <w:szCs w:val="20"/>
          <w:shd w:val="clear" w:color="auto" w:fill="FFFFFF"/>
          <w:lang w:val="es-PE"/>
        </w:rPr>
        <w:t xml:space="preserve">El Presupuesto por Resultados se implementa progresivamente a través de (i) los Programas Presupuestales (PP), (ii) las acciones de seguimiento sobre la base de los indicadores de desempeño y producción física, (iii) las evaluaciones independientes, y (iv) los incentivos a la gestión, entre otros instrumentos que determine el Ministerio de Economía y Finanzas, a través de la Dirección General de Presupuesto Público (DGPP), en colaboración de las demás entidades del Estado (MEF, 2009). </w:t>
      </w:r>
      <w:r w:rsidRPr="007D0E63">
        <w:rPr>
          <w:rFonts w:cs="Arial"/>
          <w:szCs w:val="20"/>
          <w:lang w:val="es-ES"/>
        </w:rPr>
        <w:t xml:space="preserve">A este respecto, se ha definido cinco componentes que buscan la aplicación de estas innovaciones </w:t>
      </w:r>
      <w:r w:rsidR="006778F2">
        <w:rPr>
          <w:rFonts w:cs="Arial"/>
          <w:szCs w:val="20"/>
          <w:lang w:val="es-ES"/>
        </w:rPr>
        <w:t>al ciclo presupuestal (Cuadro 3A</w:t>
      </w:r>
      <w:r w:rsidRPr="007D0E63">
        <w:rPr>
          <w:rFonts w:cs="Arial"/>
          <w:szCs w:val="20"/>
          <w:lang w:val="es-ES"/>
        </w:rPr>
        <w:t xml:space="preserve">). </w:t>
      </w:r>
    </w:p>
    <w:p w14:paraId="5E45522C" w14:textId="1EB80044" w:rsidR="00547565" w:rsidRPr="006778F2" w:rsidRDefault="00547565" w:rsidP="006778F2">
      <w:pPr>
        <w:spacing w:after="0" w:line="240" w:lineRule="auto"/>
        <w:jc w:val="center"/>
        <w:rPr>
          <w:rFonts w:cs="Arial"/>
          <w:sz w:val="18"/>
          <w:szCs w:val="20"/>
          <w:lang w:val="es-ES"/>
        </w:rPr>
      </w:pPr>
      <w:r w:rsidRPr="006778F2">
        <w:rPr>
          <w:rFonts w:cs="Arial"/>
          <w:b/>
          <w:sz w:val="18"/>
          <w:szCs w:val="20"/>
          <w:lang w:val="es-ES"/>
        </w:rPr>
        <w:t xml:space="preserve">Cuadro </w:t>
      </w:r>
      <w:r w:rsidR="002A05EE" w:rsidRPr="006778F2">
        <w:rPr>
          <w:rFonts w:cs="Arial"/>
          <w:b/>
          <w:sz w:val="18"/>
          <w:szCs w:val="20"/>
          <w:lang w:val="es-ES"/>
        </w:rPr>
        <w:t>3</w:t>
      </w:r>
      <w:r w:rsidRPr="006778F2">
        <w:rPr>
          <w:rFonts w:cs="Arial"/>
          <w:b/>
          <w:sz w:val="18"/>
          <w:szCs w:val="20"/>
          <w:lang w:val="es-ES"/>
        </w:rPr>
        <w:t>A:</w:t>
      </w:r>
      <w:r w:rsidRPr="006778F2">
        <w:rPr>
          <w:rFonts w:cs="Arial"/>
          <w:sz w:val="18"/>
          <w:szCs w:val="20"/>
          <w:lang w:val="es-ES"/>
        </w:rPr>
        <w:t xml:space="preserve"> Componente de implementación del PpR</w:t>
      </w:r>
    </w:p>
    <w:tbl>
      <w:tblPr>
        <w:tblStyle w:val="Cuadrculamedia1-nfasis1"/>
        <w:tblW w:w="0" w:type="auto"/>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544"/>
        <w:gridCol w:w="3260"/>
      </w:tblGrid>
      <w:tr w:rsidR="00547565" w:rsidRPr="006778F2" w14:paraId="2187C334" w14:textId="77777777" w:rsidTr="00677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1F497D" w:themeFill="text2"/>
            <w:vAlign w:val="center"/>
          </w:tcPr>
          <w:p w14:paraId="246E44F7" w14:textId="77777777" w:rsidR="00547565" w:rsidRPr="006778F2" w:rsidRDefault="00547565" w:rsidP="006778F2">
            <w:pPr>
              <w:widowControl w:val="0"/>
              <w:autoSpaceDE w:val="0"/>
              <w:autoSpaceDN w:val="0"/>
              <w:adjustRightInd w:val="0"/>
              <w:spacing w:after="0" w:line="240" w:lineRule="auto"/>
              <w:rPr>
                <w:rFonts w:cs="Arial"/>
                <w:color w:val="FFFFFF" w:themeColor="background1"/>
                <w:sz w:val="16"/>
                <w:szCs w:val="16"/>
                <w:lang w:val="es-ES"/>
              </w:rPr>
            </w:pPr>
            <w:r w:rsidRPr="006778F2">
              <w:rPr>
                <w:rFonts w:cs="Arial"/>
                <w:color w:val="FFFFFF" w:themeColor="background1"/>
                <w:sz w:val="16"/>
                <w:szCs w:val="16"/>
                <w:lang w:val="es-ES"/>
              </w:rPr>
              <w:t>Componentes PpR</w:t>
            </w:r>
          </w:p>
        </w:tc>
        <w:tc>
          <w:tcPr>
            <w:tcW w:w="3260" w:type="dxa"/>
            <w:shd w:val="clear" w:color="auto" w:fill="1F497D" w:themeFill="text2"/>
            <w:vAlign w:val="center"/>
          </w:tcPr>
          <w:p w14:paraId="35588F8C" w14:textId="77777777" w:rsidR="00547565" w:rsidRPr="006778F2" w:rsidRDefault="00547565" w:rsidP="006778F2">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cs="Arial"/>
                <w:color w:val="FFFFFF" w:themeColor="background1"/>
                <w:sz w:val="16"/>
                <w:szCs w:val="16"/>
                <w:lang w:val="es-ES"/>
              </w:rPr>
            </w:pPr>
            <w:r w:rsidRPr="006778F2">
              <w:rPr>
                <w:rFonts w:cs="Arial"/>
                <w:color w:val="FFFFFF" w:themeColor="background1"/>
                <w:sz w:val="16"/>
                <w:szCs w:val="16"/>
                <w:lang w:val="es-ES"/>
              </w:rPr>
              <w:t>Fase asociada del ciclo presupuestal</w:t>
            </w:r>
          </w:p>
        </w:tc>
      </w:tr>
      <w:tr w:rsidR="00547565" w:rsidRPr="006778F2" w14:paraId="487E2E01" w14:textId="77777777" w:rsidTr="006778F2">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0587775" w14:textId="77777777" w:rsidR="00547565" w:rsidRPr="006778F2" w:rsidRDefault="00547565" w:rsidP="006778F2">
            <w:pPr>
              <w:widowControl w:val="0"/>
              <w:autoSpaceDE w:val="0"/>
              <w:autoSpaceDN w:val="0"/>
              <w:adjustRightInd w:val="0"/>
              <w:spacing w:after="0" w:line="240" w:lineRule="auto"/>
              <w:rPr>
                <w:rFonts w:cs="Arial"/>
                <w:b w:val="0"/>
                <w:sz w:val="16"/>
                <w:szCs w:val="16"/>
                <w:lang w:val="es-ES"/>
              </w:rPr>
            </w:pPr>
            <w:r w:rsidRPr="006778F2">
              <w:rPr>
                <w:rFonts w:cs="Arial"/>
                <w:b w:val="0"/>
                <w:sz w:val="16"/>
                <w:szCs w:val="16"/>
                <w:lang w:val="es-ES"/>
              </w:rPr>
              <w:t>1. Programación Presupuestaria Estratégica</w:t>
            </w:r>
          </w:p>
        </w:tc>
        <w:tc>
          <w:tcPr>
            <w:tcW w:w="3260" w:type="dxa"/>
            <w:shd w:val="clear" w:color="auto" w:fill="auto"/>
            <w:vAlign w:val="center"/>
          </w:tcPr>
          <w:p w14:paraId="0CEBADFB" w14:textId="77777777" w:rsidR="00547565" w:rsidRPr="006778F2" w:rsidRDefault="00547565" w:rsidP="006778F2">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lang w:val="es-ES"/>
              </w:rPr>
            </w:pPr>
            <w:r w:rsidRPr="006778F2">
              <w:rPr>
                <w:rFonts w:cs="Arial"/>
                <w:sz w:val="16"/>
                <w:szCs w:val="16"/>
                <w:lang w:val="es-ES"/>
              </w:rPr>
              <w:t>Programación, Formulación y Aprobación</w:t>
            </w:r>
          </w:p>
        </w:tc>
      </w:tr>
      <w:tr w:rsidR="00547565" w:rsidRPr="006778F2" w14:paraId="52C53FA9" w14:textId="77777777" w:rsidTr="006778F2">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BB7C291" w14:textId="77777777" w:rsidR="00547565" w:rsidRPr="006778F2" w:rsidRDefault="00547565" w:rsidP="006778F2">
            <w:pPr>
              <w:widowControl w:val="0"/>
              <w:autoSpaceDE w:val="0"/>
              <w:autoSpaceDN w:val="0"/>
              <w:adjustRightInd w:val="0"/>
              <w:spacing w:after="0" w:line="240" w:lineRule="auto"/>
              <w:rPr>
                <w:rFonts w:cs="Arial"/>
                <w:b w:val="0"/>
                <w:sz w:val="16"/>
                <w:szCs w:val="16"/>
                <w:lang w:val="es-ES"/>
              </w:rPr>
            </w:pPr>
            <w:r w:rsidRPr="006778F2">
              <w:rPr>
                <w:rFonts w:cs="Arial"/>
                <w:b w:val="0"/>
                <w:sz w:val="16"/>
                <w:szCs w:val="16"/>
                <w:lang w:val="es-ES"/>
              </w:rPr>
              <w:t>2. Seguimiento</w:t>
            </w:r>
          </w:p>
        </w:tc>
        <w:tc>
          <w:tcPr>
            <w:tcW w:w="3260" w:type="dxa"/>
            <w:shd w:val="clear" w:color="auto" w:fill="auto"/>
            <w:vAlign w:val="center"/>
          </w:tcPr>
          <w:p w14:paraId="43B00539" w14:textId="77777777" w:rsidR="00547565" w:rsidRPr="006778F2" w:rsidRDefault="00547565" w:rsidP="006778F2">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lang w:val="es-ES"/>
              </w:rPr>
            </w:pPr>
            <w:r w:rsidRPr="006778F2">
              <w:rPr>
                <w:rFonts w:cs="Arial"/>
                <w:sz w:val="16"/>
                <w:szCs w:val="16"/>
                <w:lang w:val="es-ES"/>
              </w:rPr>
              <w:t>Ejecución y Evaluación</w:t>
            </w:r>
          </w:p>
        </w:tc>
      </w:tr>
      <w:tr w:rsidR="00547565" w:rsidRPr="006778F2" w14:paraId="757EF2B4" w14:textId="77777777" w:rsidTr="006778F2">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74281C12" w14:textId="77777777" w:rsidR="00547565" w:rsidRPr="006778F2" w:rsidRDefault="00547565" w:rsidP="006778F2">
            <w:pPr>
              <w:widowControl w:val="0"/>
              <w:autoSpaceDE w:val="0"/>
              <w:autoSpaceDN w:val="0"/>
              <w:adjustRightInd w:val="0"/>
              <w:spacing w:after="0" w:line="240" w:lineRule="auto"/>
              <w:rPr>
                <w:rFonts w:cs="Arial"/>
                <w:b w:val="0"/>
                <w:sz w:val="16"/>
                <w:szCs w:val="16"/>
                <w:lang w:val="es-ES"/>
              </w:rPr>
            </w:pPr>
            <w:r w:rsidRPr="006778F2">
              <w:rPr>
                <w:rFonts w:cs="Arial"/>
                <w:b w:val="0"/>
                <w:sz w:val="16"/>
                <w:szCs w:val="16"/>
                <w:lang w:val="es-ES"/>
              </w:rPr>
              <w:t>3. Evaluación</w:t>
            </w:r>
          </w:p>
        </w:tc>
        <w:tc>
          <w:tcPr>
            <w:tcW w:w="3260" w:type="dxa"/>
            <w:shd w:val="clear" w:color="auto" w:fill="auto"/>
            <w:vAlign w:val="center"/>
          </w:tcPr>
          <w:p w14:paraId="41C9CB09" w14:textId="77777777" w:rsidR="00547565" w:rsidRPr="006778F2" w:rsidRDefault="00547565" w:rsidP="006778F2">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lang w:val="es-ES"/>
              </w:rPr>
            </w:pPr>
            <w:r w:rsidRPr="006778F2">
              <w:rPr>
                <w:rFonts w:cs="Arial"/>
                <w:sz w:val="16"/>
                <w:szCs w:val="16"/>
                <w:lang w:val="es-ES"/>
              </w:rPr>
              <w:t>Ejecución y Evaluación</w:t>
            </w:r>
          </w:p>
        </w:tc>
      </w:tr>
      <w:tr w:rsidR="00547565" w:rsidRPr="006778F2" w14:paraId="464A1783" w14:textId="77777777" w:rsidTr="006778F2">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231ECD0" w14:textId="77777777" w:rsidR="00547565" w:rsidRPr="006778F2" w:rsidRDefault="00547565" w:rsidP="006778F2">
            <w:pPr>
              <w:widowControl w:val="0"/>
              <w:autoSpaceDE w:val="0"/>
              <w:autoSpaceDN w:val="0"/>
              <w:adjustRightInd w:val="0"/>
              <w:spacing w:after="0" w:line="240" w:lineRule="auto"/>
              <w:rPr>
                <w:rFonts w:cs="Arial"/>
                <w:b w:val="0"/>
                <w:sz w:val="16"/>
                <w:szCs w:val="16"/>
                <w:lang w:val="es-ES"/>
              </w:rPr>
            </w:pPr>
            <w:r w:rsidRPr="006778F2">
              <w:rPr>
                <w:rFonts w:cs="Arial"/>
                <w:b w:val="0"/>
                <w:sz w:val="16"/>
                <w:szCs w:val="16"/>
                <w:lang w:val="es-ES"/>
              </w:rPr>
              <w:t>4. Incentivos a la Gestión</w:t>
            </w:r>
          </w:p>
        </w:tc>
        <w:tc>
          <w:tcPr>
            <w:tcW w:w="3260" w:type="dxa"/>
            <w:shd w:val="clear" w:color="auto" w:fill="auto"/>
            <w:vAlign w:val="center"/>
          </w:tcPr>
          <w:p w14:paraId="7056A021" w14:textId="77777777" w:rsidR="00547565" w:rsidRPr="006778F2" w:rsidRDefault="00547565" w:rsidP="006778F2">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lang w:val="es-ES"/>
              </w:rPr>
            </w:pPr>
            <w:r w:rsidRPr="006778F2">
              <w:rPr>
                <w:rFonts w:cs="Arial"/>
                <w:sz w:val="16"/>
                <w:szCs w:val="16"/>
                <w:lang w:val="es-ES"/>
              </w:rPr>
              <w:t>Ejecución y Evaluación</w:t>
            </w:r>
          </w:p>
        </w:tc>
      </w:tr>
      <w:tr w:rsidR="00547565" w:rsidRPr="006778F2" w14:paraId="24EFF0BD" w14:textId="77777777" w:rsidTr="006778F2">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374CA71" w14:textId="77777777" w:rsidR="00547565" w:rsidRPr="006778F2" w:rsidRDefault="00547565" w:rsidP="006778F2">
            <w:pPr>
              <w:widowControl w:val="0"/>
              <w:autoSpaceDE w:val="0"/>
              <w:autoSpaceDN w:val="0"/>
              <w:adjustRightInd w:val="0"/>
              <w:spacing w:after="0" w:line="240" w:lineRule="auto"/>
              <w:rPr>
                <w:rFonts w:cs="Arial"/>
                <w:b w:val="0"/>
                <w:sz w:val="16"/>
                <w:szCs w:val="16"/>
                <w:lang w:val="es-ES"/>
              </w:rPr>
            </w:pPr>
            <w:r w:rsidRPr="006778F2">
              <w:rPr>
                <w:rFonts w:cs="Arial"/>
                <w:b w:val="0"/>
                <w:sz w:val="16"/>
                <w:szCs w:val="16"/>
                <w:lang w:val="es-ES"/>
              </w:rPr>
              <w:t>5. Transparencia y Monitoreo Participativo</w:t>
            </w:r>
          </w:p>
        </w:tc>
        <w:tc>
          <w:tcPr>
            <w:tcW w:w="3260" w:type="dxa"/>
            <w:shd w:val="clear" w:color="auto" w:fill="auto"/>
            <w:vAlign w:val="center"/>
          </w:tcPr>
          <w:p w14:paraId="52872053" w14:textId="77777777" w:rsidR="00547565" w:rsidRPr="006778F2" w:rsidRDefault="00547565" w:rsidP="006778F2">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lang w:val="es-ES"/>
              </w:rPr>
            </w:pPr>
            <w:r w:rsidRPr="006778F2">
              <w:rPr>
                <w:rFonts w:cs="Arial"/>
                <w:sz w:val="16"/>
                <w:szCs w:val="16"/>
                <w:lang w:val="es-ES"/>
              </w:rPr>
              <w:t>Ejecución y Evaluación</w:t>
            </w:r>
          </w:p>
        </w:tc>
      </w:tr>
    </w:tbl>
    <w:p w14:paraId="23F33B4F" w14:textId="77777777" w:rsidR="00547565" w:rsidRPr="006778F2" w:rsidRDefault="00547565" w:rsidP="006778F2">
      <w:pPr>
        <w:widowControl w:val="0"/>
        <w:autoSpaceDE w:val="0"/>
        <w:autoSpaceDN w:val="0"/>
        <w:adjustRightInd w:val="0"/>
        <w:ind w:left="851"/>
        <w:rPr>
          <w:rFonts w:cs="Arial"/>
          <w:sz w:val="16"/>
          <w:szCs w:val="16"/>
          <w:lang w:val="es-ES"/>
        </w:rPr>
      </w:pPr>
      <w:r w:rsidRPr="006778F2">
        <w:rPr>
          <w:rFonts w:cs="Arial"/>
          <w:sz w:val="16"/>
          <w:szCs w:val="16"/>
          <w:lang w:val="es-ES"/>
        </w:rPr>
        <w:t xml:space="preserve">  Fuente: MEF, 2009.</w:t>
      </w:r>
    </w:p>
    <w:p w14:paraId="45370577" w14:textId="77777777" w:rsidR="00547565" w:rsidRPr="007D0E63" w:rsidRDefault="00547565" w:rsidP="00547565">
      <w:pPr>
        <w:widowControl w:val="0"/>
        <w:numPr>
          <w:ilvl w:val="0"/>
          <w:numId w:val="5"/>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Programación Presupuestaria Estratégica: a través del proceso sistemático de determinación de resultados, productos e intervenciones, las metas a alcanzar y los recursos necesarios se obtiene un producto denominado Programa Presupuestario Estratégico. Los objetivos de la PPE, son: (i) establecer relaciones claras y verificables entre resultados (cambios) a lograr y los medios determinados para ello (productos) (ii) incentivar diseños integrados y articulados de las intervenciones del Estado, sobre la base del logro de resultados a favor de la población; (iii) establecer criterios de eficiencia y eficacia para asignar y priorizar recursos en base a las grandes necesidades nacionales y; (iv) generar las bases para un adecuada articulación entre los procesos de planificación y los procesos presupuestales</w:t>
      </w:r>
    </w:p>
    <w:p w14:paraId="6AD96FCF" w14:textId="77777777" w:rsidR="00547565" w:rsidRPr="007D0E63" w:rsidRDefault="00547565" w:rsidP="00547565">
      <w:pPr>
        <w:widowControl w:val="0"/>
        <w:numPr>
          <w:ilvl w:val="0"/>
          <w:numId w:val="5"/>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Seguimiento: Comprende la generación, registro y reporte de los valores alcanzados en los niveles de resultados y de productos generados por la ejecución de las intervenciones identificadas en el marco de la Programación Presupuestaria Estratégica. En este componente se obtiene información sobre el avance que se logra en cada punto de la ruta causal de las intervenciones diseñadas y en períodos de tiempo, trimestral, semestral, anual y multianual. Es decir, obtener información oportuna sobre el cumplimiento de los valores esperados de productos y resultados, con el propósito de apoyar la gestión del presupuesto.</w:t>
      </w:r>
    </w:p>
    <w:p w14:paraId="32A34047" w14:textId="77777777" w:rsidR="00547565" w:rsidRPr="007D0E63" w:rsidRDefault="00547565" w:rsidP="00547565">
      <w:pPr>
        <w:widowControl w:val="0"/>
        <w:numPr>
          <w:ilvl w:val="0"/>
          <w:numId w:val="5"/>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 xml:space="preserve">Evaluaciones Independientes: Las cuales consisten en la valoración de las intervenciones para determinar su relevancia, eficiencia, efectividad (eficacia), impacto y sostenibilidad. El propósito es la generación de información en profundidad sobre las intervenciones diseñadas en el marco de PpR, que permitan implementar correctivos, tanto a su diseño como a su ejecución. El objetivo de este instrumento es el de disponer de información sobre el desempeño para ser usada dentro del sistema presupuestario, permitiendo con ello justificar, en el marco del presupuesto por </w:t>
      </w:r>
      <w:r w:rsidRPr="007D0E63">
        <w:rPr>
          <w:rFonts w:eastAsiaTheme="minorHAnsi" w:cs="Arial"/>
          <w:szCs w:val="20"/>
          <w:lang w:val="es-PE" w:eastAsia="en-US"/>
        </w:rPr>
        <w:lastRenderedPageBreak/>
        <w:t>resultados, la toma de decisiones en materia presupuestal.</w:t>
      </w:r>
    </w:p>
    <w:p w14:paraId="3BE5A2CF" w14:textId="77777777" w:rsidR="00547565" w:rsidRPr="007D0E63" w:rsidRDefault="00547565" w:rsidP="00547565">
      <w:pPr>
        <w:widowControl w:val="0"/>
        <w:numPr>
          <w:ilvl w:val="0"/>
          <w:numId w:val="5"/>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Incentivos a la Gestión:, Este componente comprende el diseño y aplicación de instrumentos de incentivos a la gestión a ser aplicados en las instituciones que ejecutan o proveen los productos definidos en los Programas Estratégicos. Para estos efectos, se aprobó la Directiva de Convenios de Administración por Resultados (CAR), la misma que establece el marco normativo general para la suscripción de acuerdos entre el MEF y las entidades públicas que ejecutan los programas estratégicos.</w:t>
      </w:r>
    </w:p>
    <w:p w14:paraId="73A3AFD2" w14:textId="77777777" w:rsidR="00547565" w:rsidRPr="007D0E63" w:rsidRDefault="00547565" w:rsidP="00547565">
      <w:pPr>
        <w:widowControl w:val="0"/>
        <w:numPr>
          <w:ilvl w:val="0"/>
          <w:numId w:val="5"/>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Transparencia y Monitoreo Participativo: Este componente consiste en la implementación de acciones dirigidas a fortalecer el Presupuesto Participativo del gasto en Gobiernos regionales y Gobiernos locales desde un enfoque por resultados, así como a instaurar el proceso de Monitoreo Participativo, buscando consolidar las iniciativas que la Dirección Nacional del Presupuesto Público (DNPP) tiene en materia de incorporar la participación ciudadana en el ciclo presupuestal con la finalidad de mejorar la calidad del gasto público y fortalecer la relación ciudadano - Estado. El objetivo central es propiciar un involucramiento informado por parte de los actores locales en el seguimiento y exigencia de productos y resultados priorizados y ejecutados en el marco de los Programas Presupuestarios Estratégicos y de otros prioritarios en sus localidades.</w:t>
      </w:r>
    </w:p>
    <w:p w14:paraId="699CF636" w14:textId="77777777" w:rsidR="00547565" w:rsidRPr="007D0E63" w:rsidRDefault="00547565" w:rsidP="00547565">
      <w:pPr>
        <w:widowControl w:val="0"/>
        <w:tabs>
          <w:tab w:val="left" w:pos="220"/>
          <w:tab w:val="left" w:pos="720"/>
        </w:tabs>
        <w:autoSpaceDE w:val="0"/>
        <w:autoSpaceDN w:val="0"/>
        <w:adjustRightInd w:val="0"/>
        <w:spacing w:before="60"/>
        <w:contextualSpacing/>
        <w:rPr>
          <w:rFonts w:eastAsiaTheme="minorHAnsi" w:cs="Arial"/>
          <w:szCs w:val="20"/>
          <w:lang w:val="es-PE" w:eastAsia="en-US"/>
        </w:rPr>
      </w:pPr>
    </w:p>
    <w:p w14:paraId="459E5740" w14:textId="13EF03A7" w:rsidR="00547565" w:rsidRPr="007D0E63" w:rsidRDefault="00547565" w:rsidP="006778F2">
      <w:pPr>
        <w:pStyle w:val="Ttulo2"/>
        <w:pageBreakBefore/>
        <w:rPr>
          <w:rFonts w:cs="Arial"/>
        </w:rPr>
      </w:pPr>
      <w:bookmarkStart w:id="7" w:name="_Toc299554792"/>
      <w:r w:rsidRPr="007D0E63">
        <w:rPr>
          <w:rFonts w:cs="Arial"/>
        </w:rPr>
        <w:lastRenderedPageBreak/>
        <w:t xml:space="preserve">Anexo </w:t>
      </w:r>
      <w:r w:rsidR="0098710A">
        <w:rPr>
          <w:rFonts w:cs="Arial"/>
        </w:rPr>
        <w:t>4</w:t>
      </w:r>
      <w:r w:rsidRPr="007D0E63">
        <w:rPr>
          <w:rFonts w:cs="Arial"/>
        </w:rPr>
        <w:t>: Elementos que comprenden el Programa Presupuestal</w:t>
      </w:r>
      <w:bookmarkEnd w:id="7"/>
    </w:p>
    <w:p w14:paraId="6685FFB9" w14:textId="77777777" w:rsidR="00547565" w:rsidRPr="007D0E63" w:rsidRDefault="00547565" w:rsidP="00547565">
      <w:pPr>
        <w:rPr>
          <w:rFonts w:cs="Arial"/>
          <w:szCs w:val="20"/>
        </w:rPr>
      </w:pPr>
      <w:r w:rsidRPr="007D0E63">
        <w:rPr>
          <w:rFonts w:cs="Arial"/>
          <w:szCs w:val="20"/>
          <w:lang w:val="es-ES"/>
        </w:rPr>
        <w:t>Los elementos que comprenden el Programa Presupuestal son</w:t>
      </w:r>
      <w:r w:rsidRPr="007D0E63">
        <w:rPr>
          <w:rFonts w:cs="Arial"/>
          <w:bCs/>
          <w:szCs w:val="20"/>
          <w:lang w:val="es-ES"/>
        </w:rPr>
        <w:t xml:space="preserve"> (Capítulo II </w:t>
      </w:r>
      <w:r w:rsidRPr="007D0E63">
        <w:rPr>
          <w:rFonts w:cs="Arial"/>
          <w:szCs w:val="20"/>
          <w:lang w:val="es-ES"/>
        </w:rPr>
        <w:t xml:space="preserve"> </w:t>
      </w:r>
      <w:r w:rsidRPr="007D0E63">
        <w:rPr>
          <w:rFonts w:cs="Arial"/>
          <w:bCs/>
          <w:szCs w:val="20"/>
          <w:lang w:val="es-ES"/>
        </w:rPr>
        <w:t xml:space="preserve">Artículo 4 </w:t>
      </w:r>
      <w:r w:rsidRPr="007D0E63">
        <w:rPr>
          <w:rFonts w:cs="Arial"/>
          <w:szCs w:val="20"/>
        </w:rPr>
        <w:t>de la Directiva Nº 001-2015-EF/50.01):</w:t>
      </w:r>
    </w:p>
    <w:p w14:paraId="3DB0555E" w14:textId="77777777" w:rsidR="00547565" w:rsidRPr="007D0E63" w:rsidRDefault="00547565" w:rsidP="00547565">
      <w:pPr>
        <w:widowControl w:val="0"/>
        <w:numPr>
          <w:ilvl w:val="0"/>
          <w:numId w:val="1"/>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 xml:space="preserve">Producto: Es el conjunto articulado de bienes y/o servicios que recibe la población beneficiaria con el objetivo de generar un cambio. </w:t>
      </w:r>
    </w:p>
    <w:p w14:paraId="30C7C5F9" w14:textId="77777777" w:rsidR="00547565" w:rsidRPr="007D0E63" w:rsidRDefault="00547565" w:rsidP="00547565">
      <w:pPr>
        <w:widowControl w:val="0"/>
        <w:numPr>
          <w:ilvl w:val="0"/>
          <w:numId w:val="1"/>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 xml:space="preserve">Acciones Comunes: Son gastos administrativos de carácter exclusivo del Programa Presupuestal, los que además no pueden ser identificados en los productos del PP, ni pueden ser atribuidos enteramente a uno de ellos. </w:t>
      </w:r>
    </w:p>
    <w:p w14:paraId="7B02BE97" w14:textId="77777777" w:rsidR="00547565" w:rsidRPr="007D0E63" w:rsidRDefault="00547565" w:rsidP="00547565">
      <w:pPr>
        <w:widowControl w:val="0"/>
        <w:numPr>
          <w:ilvl w:val="0"/>
          <w:numId w:val="1"/>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 xml:space="preserve">Proyecto: En concordancia con lo establecido en el artículo 2 del Reglamento del Sistema Nacional de Inversión Pública, aprobado por el Decreto Supremo No 102-2007-EF, constituye una intervención limitada en el tiempo, de la cual resulta un producto final. Representa la creación, ampliación, mejora, modernización y/o recuperación de la capacidad de producción de bienes y servicios, implicando la variación sustancial o el cambio de procesos y/o tecnología utilizada por la entidad pública. </w:t>
      </w:r>
    </w:p>
    <w:p w14:paraId="33569E98" w14:textId="77777777" w:rsidR="00547565" w:rsidRPr="007D0E63" w:rsidRDefault="00547565" w:rsidP="00547565">
      <w:pPr>
        <w:widowControl w:val="0"/>
        <w:numPr>
          <w:ilvl w:val="0"/>
          <w:numId w:val="1"/>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 xml:space="preserve">Actividad: Es una acción sobre una lista específica y completa de insumos (bienes y servicios necesarios y suficientes), que en conjunto con otras actividades garantizan la provisión del producto. </w:t>
      </w:r>
    </w:p>
    <w:p w14:paraId="1D0EEAE3" w14:textId="77777777" w:rsidR="00547565" w:rsidRPr="007D0E63" w:rsidRDefault="00547565" w:rsidP="00547565">
      <w:pPr>
        <w:widowControl w:val="0"/>
        <w:numPr>
          <w:ilvl w:val="0"/>
          <w:numId w:val="1"/>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 xml:space="preserve">Indicador: Es un enunciado que define una medida sobre el nivel de logro en el resultado, los productos y/o actividades. Existen dos tipos de indicadores: i) indicador de producción física (medida sobre cantidades de bienes y servicios provistos en términos de una unidad de medida establecida) y, ii) indicador de desempeño (medida sobre el logro de resultados, la entrega de productos o la satisfacción de los atributos del producto en las dimensiones de eficacia, eficiencia, calidad y/o economía). </w:t>
      </w:r>
    </w:p>
    <w:p w14:paraId="28C7F2B4" w14:textId="77777777" w:rsidR="006778F2" w:rsidRPr="007D0E63" w:rsidRDefault="006778F2" w:rsidP="006778F2">
      <w:pPr>
        <w:widowControl w:val="0"/>
        <w:numPr>
          <w:ilvl w:val="0"/>
          <w:numId w:val="1"/>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Meta: Es el valor numérico proyectado de los indicadores. Existen dos tipos de metas: i) meta física, y ii) meta del indicador de desempeño.</w:t>
      </w:r>
    </w:p>
    <w:p w14:paraId="19B6A914" w14:textId="77777777" w:rsidR="006778F2" w:rsidRPr="007D0E63" w:rsidRDefault="006778F2" w:rsidP="006778F2">
      <w:pPr>
        <w:ind w:left="708"/>
        <w:rPr>
          <w:rFonts w:cs="Arial"/>
          <w:szCs w:val="20"/>
          <w:lang w:val="es-ES"/>
        </w:rPr>
      </w:pPr>
      <w:r w:rsidRPr="007D0E63">
        <w:rPr>
          <w:rFonts w:cs="Arial"/>
          <w:szCs w:val="20"/>
        </w:rPr>
        <w:t>i) Meta física:</w:t>
      </w:r>
      <w:r w:rsidRPr="007D0E63">
        <w:rPr>
          <w:rFonts w:cs="Arial"/>
          <w:szCs w:val="20"/>
          <w:lang w:val="es-ES"/>
        </w:rPr>
        <w:t xml:space="preserve"> Es el valor numérico proyectado del </w:t>
      </w:r>
      <w:r w:rsidRPr="007D0E63">
        <w:rPr>
          <w:rFonts w:cs="Arial"/>
          <w:i/>
          <w:iCs/>
          <w:szCs w:val="20"/>
          <w:lang w:val="es-ES"/>
        </w:rPr>
        <w:t xml:space="preserve">indicador de producción física </w:t>
      </w:r>
      <w:r w:rsidRPr="007D0E63">
        <w:rPr>
          <w:rFonts w:cs="Arial"/>
          <w:szCs w:val="20"/>
          <w:lang w:val="es-ES"/>
        </w:rPr>
        <w:t>(para productos/proyectos, y actividades/acciones de inversión y/u obras). La meta física</w:t>
      </w:r>
      <w:r>
        <w:rPr>
          <w:rFonts w:cs="Arial"/>
          <w:szCs w:val="20"/>
          <w:lang w:val="es-ES"/>
        </w:rPr>
        <w:t xml:space="preserve"> tiene dos dimensiones (Figura 4A</w:t>
      </w:r>
      <w:r w:rsidRPr="007D0E63">
        <w:rPr>
          <w:rFonts w:cs="Arial"/>
          <w:szCs w:val="20"/>
          <w:lang w:val="es-ES"/>
        </w:rPr>
        <w:t>):</w:t>
      </w:r>
    </w:p>
    <w:p w14:paraId="64262ACB" w14:textId="77777777" w:rsidR="006778F2" w:rsidRPr="007D0E63" w:rsidRDefault="006778F2" w:rsidP="006778F2">
      <w:pPr>
        <w:ind w:left="1416"/>
        <w:rPr>
          <w:rFonts w:cs="Arial"/>
          <w:szCs w:val="20"/>
          <w:lang w:val="es-ES"/>
        </w:rPr>
      </w:pPr>
      <w:r w:rsidRPr="007D0E63">
        <w:rPr>
          <w:rFonts w:cs="Arial"/>
          <w:szCs w:val="20"/>
          <w:lang w:val="es-ES"/>
        </w:rPr>
        <w:t xml:space="preserve">• </w:t>
      </w:r>
      <w:r w:rsidRPr="007D0E63">
        <w:rPr>
          <w:rFonts w:cs="Arial"/>
          <w:b/>
          <w:bCs/>
          <w:szCs w:val="20"/>
          <w:lang w:val="es-ES"/>
        </w:rPr>
        <w:t xml:space="preserve">Dimensión física: </w:t>
      </w:r>
      <w:r w:rsidRPr="007D0E63">
        <w:rPr>
          <w:rFonts w:cs="Arial"/>
          <w:szCs w:val="20"/>
          <w:lang w:val="es-ES"/>
        </w:rPr>
        <w:t>Es el valor proyectado del indicador de producción física definido en la unidad de medida establecida. Corresponde a productos/proyectos, y actividades/acciones de inversión y/u obras.</w:t>
      </w:r>
    </w:p>
    <w:p w14:paraId="27448989" w14:textId="77777777" w:rsidR="006778F2" w:rsidRPr="007D0E63" w:rsidRDefault="006778F2" w:rsidP="006778F2">
      <w:pPr>
        <w:ind w:left="1416"/>
        <w:rPr>
          <w:rFonts w:cs="Arial"/>
          <w:szCs w:val="20"/>
          <w:lang w:val="es-ES"/>
        </w:rPr>
      </w:pPr>
      <w:r w:rsidRPr="007D0E63">
        <w:rPr>
          <w:rFonts w:cs="Arial"/>
          <w:szCs w:val="20"/>
          <w:lang w:val="es-ES"/>
        </w:rPr>
        <w:t xml:space="preserve">La dimensión física tiene hasta tres elementos: </w:t>
      </w:r>
      <w:r w:rsidRPr="007D0E63">
        <w:rPr>
          <w:rFonts w:cs="Arial"/>
          <w:i/>
          <w:iCs/>
          <w:szCs w:val="20"/>
          <w:lang w:val="es-ES"/>
        </w:rPr>
        <w:t xml:space="preserve">(i) unidad de medida: </w:t>
      </w:r>
      <w:r w:rsidRPr="007D0E63">
        <w:rPr>
          <w:rFonts w:cs="Arial"/>
          <w:szCs w:val="20"/>
          <w:lang w:val="es-ES"/>
        </w:rPr>
        <w:t xml:space="preserve">la unidad en la que se medirá físicamente el producto, actividad/acciones de inversión y/u obras; </w:t>
      </w:r>
      <w:r w:rsidRPr="007D0E63">
        <w:rPr>
          <w:rFonts w:cs="Arial"/>
          <w:i/>
          <w:iCs/>
          <w:szCs w:val="20"/>
          <w:lang w:val="es-ES"/>
        </w:rPr>
        <w:t xml:space="preserve">(ii) valor proyectado: </w:t>
      </w:r>
      <w:r w:rsidRPr="007D0E63">
        <w:rPr>
          <w:rFonts w:cs="Arial"/>
          <w:szCs w:val="20"/>
          <w:lang w:val="es-ES"/>
        </w:rPr>
        <w:t>el número de unidades de medida que se espera alcanzar y </w:t>
      </w:r>
      <w:r w:rsidRPr="007D0E63">
        <w:rPr>
          <w:rFonts w:cs="Arial"/>
          <w:i/>
          <w:iCs/>
          <w:szCs w:val="20"/>
          <w:lang w:val="es-ES"/>
        </w:rPr>
        <w:t xml:space="preserve">(iii) </w:t>
      </w:r>
      <w:proofErr w:type="spellStart"/>
      <w:r w:rsidRPr="007D0E63">
        <w:rPr>
          <w:rFonts w:cs="Arial"/>
          <w:i/>
          <w:iCs/>
          <w:szCs w:val="20"/>
          <w:lang w:val="es-ES"/>
        </w:rPr>
        <w:t>ubigeo</w:t>
      </w:r>
      <w:proofErr w:type="spellEnd"/>
      <w:r w:rsidRPr="007D0E63">
        <w:rPr>
          <w:rFonts w:cs="Arial"/>
          <w:i/>
          <w:iCs/>
          <w:szCs w:val="20"/>
          <w:lang w:val="es-ES"/>
        </w:rPr>
        <w:t xml:space="preserve">: </w:t>
      </w:r>
      <w:r w:rsidRPr="007D0E63">
        <w:rPr>
          <w:rFonts w:cs="Arial"/>
          <w:szCs w:val="20"/>
          <w:lang w:val="es-ES"/>
        </w:rPr>
        <w:t>la identificación del lugar –departamento, provincia, distrito– donde se realiza la actividad, acciones de inversión y/u obras.</w:t>
      </w:r>
    </w:p>
    <w:p w14:paraId="0B5D13CE" w14:textId="77777777" w:rsidR="006778F2" w:rsidRPr="007D0E63" w:rsidRDefault="006778F2" w:rsidP="006778F2">
      <w:pPr>
        <w:ind w:left="1416"/>
        <w:rPr>
          <w:rFonts w:cs="Arial"/>
          <w:szCs w:val="20"/>
          <w:lang w:val="es-ES"/>
        </w:rPr>
      </w:pPr>
      <w:r w:rsidRPr="007D0E63">
        <w:rPr>
          <w:rFonts w:cs="Arial"/>
          <w:szCs w:val="20"/>
          <w:lang w:val="es-ES"/>
        </w:rPr>
        <w:lastRenderedPageBreak/>
        <w:t xml:space="preserve">Los productos tendrán necesariamente los elementos unidad de medida y valor proyectado, mientras que las actividades, acciones de inversión y/u obras deberán incluir además el </w:t>
      </w:r>
      <w:proofErr w:type="spellStart"/>
      <w:r w:rsidRPr="007D0E63">
        <w:rPr>
          <w:rFonts w:cs="Arial"/>
          <w:szCs w:val="20"/>
          <w:lang w:val="es-ES"/>
        </w:rPr>
        <w:t>ubigeo</w:t>
      </w:r>
      <w:proofErr w:type="spellEnd"/>
      <w:r w:rsidRPr="007D0E63">
        <w:rPr>
          <w:rFonts w:cs="Arial"/>
          <w:szCs w:val="20"/>
          <w:lang w:val="es-ES"/>
        </w:rPr>
        <w:t>.</w:t>
      </w:r>
    </w:p>
    <w:p w14:paraId="6055CCBF" w14:textId="42D336CD" w:rsidR="00547565" w:rsidRPr="006778F2" w:rsidRDefault="006778F2" w:rsidP="006778F2">
      <w:pPr>
        <w:ind w:left="1416"/>
        <w:rPr>
          <w:rFonts w:cs="Arial"/>
          <w:szCs w:val="20"/>
          <w:lang w:val="es-ES"/>
        </w:rPr>
      </w:pPr>
      <w:r w:rsidRPr="007D0E63">
        <w:rPr>
          <w:rFonts w:cs="Arial"/>
          <w:szCs w:val="20"/>
          <w:lang w:val="es-ES"/>
        </w:rPr>
        <w:t xml:space="preserve">• </w:t>
      </w:r>
      <w:r w:rsidRPr="007D0E63">
        <w:rPr>
          <w:rFonts w:cs="Arial"/>
          <w:b/>
          <w:bCs/>
          <w:szCs w:val="20"/>
          <w:lang w:val="es-ES"/>
        </w:rPr>
        <w:t xml:space="preserve">Dimensión financiera: </w:t>
      </w:r>
      <w:r w:rsidRPr="007D0E63">
        <w:rPr>
          <w:rFonts w:cs="Arial"/>
          <w:szCs w:val="20"/>
          <w:lang w:val="es-ES"/>
        </w:rPr>
        <w:t>Es el valor monetario de la dimensión física que corresponde a la meta física. En el caso de las actividades/acciones de inversión y/u obras, se obtiene a partir de la cuantificación y valorización de los insumos necesarios para su realización. Para los productos y proyectos, la dimensión financiera se obtiene por agregación del valor de la dimensión financiera de las actividades, acciones de inversión y/u obras que los componen.</w:t>
      </w:r>
    </w:p>
    <w:p w14:paraId="569CA3C3" w14:textId="50CC713B" w:rsidR="00547565" w:rsidRPr="006778F2" w:rsidRDefault="00547565" w:rsidP="00547565">
      <w:pPr>
        <w:pBdr>
          <w:top w:val="single" w:sz="4" w:space="1" w:color="auto"/>
          <w:left w:val="single" w:sz="4" w:space="4" w:color="auto"/>
          <w:bottom w:val="single" w:sz="4" w:space="1" w:color="auto"/>
          <w:right w:val="single" w:sz="4" w:space="4" w:color="auto"/>
        </w:pBdr>
        <w:jc w:val="center"/>
        <w:rPr>
          <w:rFonts w:cs="Arial"/>
          <w:b/>
          <w:bCs/>
          <w:color w:val="1A1718"/>
          <w:sz w:val="18"/>
          <w:szCs w:val="20"/>
          <w:lang w:val="es-ES"/>
        </w:rPr>
      </w:pPr>
      <w:r w:rsidRPr="006778F2">
        <w:rPr>
          <w:rFonts w:cs="Arial"/>
          <w:b/>
          <w:sz w:val="18"/>
          <w:szCs w:val="20"/>
          <w:lang w:val="es-ES"/>
        </w:rPr>
        <w:t xml:space="preserve">Figura </w:t>
      </w:r>
      <w:r w:rsidR="002A05EE" w:rsidRPr="006778F2">
        <w:rPr>
          <w:rFonts w:cs="Arial"/>
          <w:b/>
          <w:sz w:val="18"/>
          <w:szCs w:val="20"/>
          <w:lang w:val="es-ES"/>
        </w:rPr>
        <w:t>4</w:t>
      </w:r>
      <w:r w:rsidRPr="006778F2">
        <w:rPr>
          <w:rFonts w:cs="Arial"/>
          <w:b/>
          <w:sz w:val="18"/>
          <w:szCs w:val="20"/>
          <w:lang w:val="es-ES"/>
        </w:rPr>
        <w:t>A:</w:t>
      </w:r>
      <w:r w:rsidRPr="006778F2">
        <w:rPr>
          <w:rFonts w:cs="Arial"/>
          <w:sz w:val="18"/>
          <w:szCs w:val="20"/>
          <w:lang w:val="es-ES"/>
        </w:rPr>
        <w:t xml:space="preserve"> Dimensiones de la meta a nivel de Resultados, Productos/Proyectos, y actividades/acciones de inversión y/u obras</w:t>
      </w:r>
    </w:p>
    <w:p w14:paraId="52434AA7" w14:textId="77777777" w:rsidR="00547565" w:rsidRPr="007D0E63" w:rsidRDefault="00547565" w:rsidP="00547565">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spacing w:after="213"/>
        <w:jc w:val="center"/>
        <w:rPr>
          <w:rFonts w:cs="Arial"/>
          <w:b/>
          <w:bCs/>
          <w:color w:val="1A1718"/>
          <w:szCs w:val="20"/>
          <w:lang w:val="es-ES"/>
        </w:rPr>
      </w:pPr>
      <w:r w:rsidRPr="007D0E63">
        <w:rPr>
          <w:rFonts w:cs="Arial"/>
          <w:noProof/>
          <w:szCs w:val="20"/>
          <w:lang w:val="es-PE" w:eastAsia="es-PE"/>
        </w:rPr>
        <w:drawing>
          <wp:inline distT="0" distB="0" distL="0" distR="0" wp14:anchorId="686D18C4" wp14:editId="3C5C1143">
            <wp:extent cx="3906360" cy="3312795"/>
            <wp:effectExtent l="0" t="0" r="5715" b="0"/>
            <wp:docPr id="8"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4"/>
                    <pic:cNvPicPr>
                      <a:picLocks noChangeAspect="1"/>
                    </pic:cNvPicPr>
                  </pic:nvPicPr>
                  <pic:blipFill>
                    <a:blip r:embed="rId9">
                      <a:extLst>
                        <a:ext uri="{BEBA8EAE-BF5A-486C-A8C5-ECC9F3942E4B}">
                          <a14:imgProps xmlns:a14="http://schemas.microsoft.com/office/drawing/2010/main">
                            <a14:imgLayer r:embed="rId10">
                              <a14:imgEffect>
                                <a14:sharpenSoften amount="25000"/>
                              </a14:imgEffect>
                              <a14:imgEffect>
                                <a14:saturation sat="200000"/>
                              </a14:imgEffect>
                            </a14:imgLayer>
                          </a14:imgProps>
                        </a:ext>
                      </a:extLst>
                    </a:blip>
                    <a:stretch>
                      <a:fillRect/>
                    </a:stretch>
                  </pic:blipFill>
                  <pic:spPr>
                    <a:xfrm>
                      <a:off x="0" y="0"/>
                      <a:ext cx="3908134" cy="3314299"/>
                    </a:xfrm>
                    <a:prstGeom prst="rect">
                      <a:avLst/>
                    </a:prstGeom>
                  </pic:spPr>
                </pic:pic>
              </a:graphicData>
            </a:graphic>
          </wp:inline>
        </w:drawing>
      </w:r>
    </w:p>
    <w:p w14:paraId="6F3F616A" w14:textId="77777777" w:rsidR="00547565" w:rsidRDefault="00547565" w:rsidP="00547565">
      <w:pPr>
        <w:widowControl w:val="0"/>
        <w:autoSpaceDE w:val="0"/>
        <w:autoSpaceDN w:val="0"/>
        <w:adjustRightInd w:val="0"/>
        <w:ind w:left="709"/>
        <w:rPr>
          <w:rFonts w:cs="Arial"/>
          <w:szCs w:val="20"/>
        </w:rPr>
      </w:pPr>
      <w:r w:rsidRPr="007D0E63">
        <w:rPr>
          <w:rFonts w:cs="Arial"/>
          <w:szCs w:val="20"/>
        </w:rPr>
        <w:t>ii) Meta del indicador de desempeño: Es el valor numérico proyectado de lo indicadores de desempeño (resultados y productos del PP).</w:t>
      </w:r>
    </w:p>
    <w:p w14:paraId="4E20C05F" w14:textId="77777777" w:rsidR="006778F2" w:rsidRDefault="006778F2" w:rsidP="00547565">
      <w:pPr>
        <w:widowControl w:val="0"/>
        <w:autoSpaceDE w:val="0"/>
        <w:autoSpaceDN w:val="0"/>
        <w:adjustRightInd w:val="0"/>
        <w:ind w:left="709"/>
        <w:rPr>
          <w:rFonts w:cs="Arial"/>
          <w:szCs w:val="20"/>
        </w:rPr>
      </w:pPr>
    </w:p>
    <w:p w14:paraId="66B7BA79" w14:textId="77777777" w:rsidR="00532EE9" w:rsidRPr="007D0E63" w:rsidRDefault="00532EE9" w:rsidP="006778F2">
      <w:pPr>
        <w:pStyle w:val="Ttulo2"/>
        <w:pageBreakBefore/>
        <w:rPr>
          <w:rFonts w:cs="Arial"/>
        </w:rPr>
      </w:pPr>
      <w:bookmarkStart w:id="8" w:name="_Toc299554793"/>
      <w:r w:rsidRPr="007D0E63">
        <w:rPr>
          <w:rFonts w:cs="Arial"/>
        </w:rPr>
        <w:lastRenderedPageBreak/>
        <w:t xml:space="preserve">Anexo </w:t>
      </w:r>
      <w:r>
        <w:rPr>
          <w:rFonts w:cs="Arial"/>
        </w:rPr>
        <w:t>5</w:t>
      </w:r>
      <w:r w:rsidRPr="007D0E63">
        <w:rPr>
          <w:rFonts w:cs="Arial"/>
        </w:rPr>
        <w:t>: Fases y etapas para la efectiva articulación territorial del Proceso Presupuestario</w:t>
      </w:r>
      <w:bookmarkEnd w:id="8"/>
    </w:p>
    <w:p w14:paraId="3179A0FB" w14:textId="195A5D48" w:rsidR="00532EE9" w:rsidRPr="007D0E63" w:rsidRDefault="00532EE9" w:rsidP="00532EE9">
      <w:pPr>
        <w:rPr>
          <w:rFonts w:cs="Arial"/>
          <w:szCs w:val="20"/>
          <w:lang w:val="es-ES"/>
        </w:rPr>
      </w:pPr>
      <w:r w:rsidRPr="007D0E63">
        <w:rPr>
          <w:rFonts w:cs="Arial"/>
          <w:szCs w:val="20"/>
          <w:lang w:val="es-ES"/>
        </w:rPr>
        <w:t xml:space="preserve">En cada una de las fases del proceso </w:t>
      </w:r>
      <w:r w:rsidR="006778F2">
        <w:rPr>
          <w:rFonts w:cs="Arial"/>
          <w:szCs w:val="20"/>
          <w:lang w:val="es-ES"/>
        </w:rPr>
        <w:t>presupuestario (Figura 5A</w:t>
      </w:r>
      <w:r w:rsidRPr="007D0E63">
        <w:rPr>
          <w:rFonts w:cs="Arial"/>
          <w:szCs w:val="20"/>
          <w:lang w:val="es-ES"/>
        </w:rPr>
        <w:t>), se identifican también etapas asociadas a las acciones que mínimamente se requieren para una efectiva articulación territorial del PP. La implementación del Plan de trabajo de articulación territorial se realiza a través de diez (10) acciones, las mismas que deberán ser coordinadas entre los sectores responsables de los PP con articulación territorial (es decir aquellos en los que la ejecución del PP involucra la participación de uno o mas niveles de gobierno), y la Dirección de Calidad del Gasto Público de la DGPP - MEF para su ejecución en los tres niveles de gobierno.</w:t>
      </w:r>
    </w:p>
    <w:p w14:paraId="22217BAD" w14:textId="77777777" w:rsidR="00532EE9" w:rsidRPr="006778F2" w:rsidRDefault="00532EE9" w:rsidP="005401D8">
      <w:pPr>
        <w:pBdr>
          <w:top w:val="single" w:sz="4" w:space="1" w:color="auto"/>
          <w:left w:val="single" w:sz="4" w:space="4" w:color="auto"/>
          <w:bottom w:val="single" w:sz="4" w:space="1" w:color="auto"/>
          <w:right w:val="single" w:sz="4" w:space="4" w:color="auto"/>
        </w:pBdr>
        <w:spacing w:after="0" w:line="240" w:lineRule="auto"/>
        <w:jc w:val="center"/>
        <w:rPr>
          <w:rFonts w:cs="Arial"/>
          <w:b/>
          <w:sz w:val="18"/>
          <w:szCs w:val="20"/>
          <w:lang w:val="es-ES"/>
        </w:rPr>
      </w:pPr>
      <w:r w:rsidRPr="006778F2">
        <w:rPr>
          <w:rFonts w:cs="Arial"/>
          <w:b/>
          <w:sz w:val="18"/>
          <w:szCs w:val="20"/>
          <w:lang w:val="es-ES"/>
        </w:rPr>
        <w:t>Figura 5A:</w:t>
      </w:r>
      <w:r w:rsidRPr="006778F2">
        <w:rPr>
          <w:rFonts w:cs="Arial"/>
          <w:sz w:val="18"/>
          <w:szCs w:val="20"/>
          <w:lang w:val="es-ES"/>
        </w:rPr>
        <w:t xml:space="preserve"> </w:t>
      </w:r>
      <w:r w:rsidRPr="006778F2">
        <w:rPr>
          <w:rFonts w:cs="Arial"/>
          <w:sz w:val="18"/>
          <w:szCs w:val="20"/>
          <w:lang w:val="es-MX"/>
        </w:rPr>
        <w:t>El enfoque por resultados en el proceso presupuestario</w:t>
      </w:r>
    </w:p>
    <w:p w14:paraId="7992620D" w14:textId="77777777" w:rsidR="00532EE9" w:rsidRPr="006778F2" w:rsidRDefault="00532EE9" w:rsidP="005401D8">
      <w:pPr>
        <w:pBdr>
          <w:top w:val="single" w:sz="4" w:space="1" w:color="auto"/>
          <w:left w:val="single" w:sz="4" w:space="4" w:color="auto"/>
          <w:bottom w:val="single" w:sz="4" w:space="1" w:color="auto"/>
          <w:right w:val="single" w:sz="4" w:space="4" w:color="auto"/>
        </w:pBdr>
        <w:spacing w:after="0" w:line="240" w:lineRule="auto"/>
        <w:jc w:val="center"/>
        <w:rPr>
          <w:rFonts w:cs="Arial"/>
          <w:sz w:val="18"/>
          <w:szCs w:val="20"/>
        </w:rPr>
      </w:pPr>
      <w:r w:rsidRPr="006778F2">
        <w:rPr>
          <w:rFonts w:cs="Arial"/>
          <w:noProof/>
          <w:sz w:val="18"/>
          <w:szCs w:val="20"/>
          <w:lang w:val="es-PE" w:eastAsia="es-PE"/>
        </w:rPr>
        <w:drawing>
          <wp:inline distT="0" distB="0" distL="0" distR="0" wp14:anchorId="7B9E1958" wp14:editId="41C60FB7">
            <wp:extent cx="4268470" cy="3338551"/>
            <wp:effectExtent l="0" t="0" r="0" b="5270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FC8947D" w14:textId="77777777" w:rsidR="00532EE9" w:rsidRPr="005401D8" w:rsidRDefault="00532EE9" w:rsidP="005401D8">
      <w:pPr>
        <w:pBdr>
          <w:top w:val="single" w:sz="4" w:space="1" w:color="auto"/>
          <w:left w:val="single" w:sz="4" w:space="4" w:color="auto"/>
          <w:bottom w:val="single" w:sz="4" w:space="1" w:color="auto"/>
          <w:right w:val="single" w:sz="4" w:space="4" w:color="auto"/>
        </w:pBdr>
        <w:spacing w:after="0" w:line="240" w:lineRule="auto"/>
        <w:rPr>
          <w:rFonts w:cs="Arial"/>
          <w:sz w:val="16"/>
          <w:szCs w:val="20"/>
        </w:rPr>
      </w:pPr>
      <w:r w:rsidRPr="005401D8">
        <w:rPr>
          <w:rFonts w:cs="Arial"/>
          <w:sz w:val="16"/>
          <w:szCs w:val="20"/>
        </w:rPr>
        <w:t>Fuente: MEF (2009).</w:t>
      </w:r>
    </w:p>
    <w:p w14:paraId="4CF584B5" w14:textId="77777777" w:rsidR="00532EE9" w:rsidRPr="007D0E63" w:rsidRDefault="00532EE9" w:rsidP="005401D8">
      <w:pPr>
        <w:rPr>
          <w:lang w:val="es-ES"/>
        </w:rPr>
      </w:pPr>
      <w:r w:rsidRPr="007D0E63">
        <w:t xml:space="preserve">La </w:t>
      </w:r>
      <w:r w:rsidRPr="007D0E63">
        <w:rPr>
          <w:lang w:val="es-ES"/>
        </w:rPr>
        <w:t>fase de programación consta de dos etapas: (i) diseño y (ii) programación del Programa Presupuestal. Con respecto a la primera, las acciones a seguir corresponde a la difusión de la lógica del PP, la validación de modelos operacionales y tipología de proyectos, así como la difusión del diseño del PP que se considerará en la formulación del presupuesto del año. En cuanto a la programación, se deben proponer las metas de los indicadores de desempeño de resultado y productos por el PP. Así también la definición de las metas físicas y financieras.</w:t>
      </w:r>
    </w:p>
    <w:p w14:paraId="01F0F2FE" w14:textId="77777777" w:rsidR="00532EE9" w:rsidRPr="007D0E63" w:rsidRDefault="00532EE9" w:rsidP="00532EE9">
      <w:pPr>
        <w:rPr>
          <w:rFonts w:cs="Arial"/>
          <w:szCs w:val="20"/>
          <w:lang w:val="es-PE"/>
        </w:rPr>
      </w:pPr>
      <w:r w:rsidRPr="007D0E63">
        <w:rPr>
          <w:rFonts w:cs="Arial"/>
          <w:szCs w:val="20"/>
          <w:lang w:val="es-PE"/>
        </w:rPr>
        <w:t>En la fase de formulación las acciones a seguir serán: un ajuste de las metas físicas y financieras con el marco presupuestal aprobado y la consolidación de la formulación de presupuesto del PP para el ejercicio en documentos ejecutivos</w:t>
      </w:r>
    </w:p>
    <w:p w14:paraId="05A359C6" w14:textId="6EDD7FB2" w:rsidR="00532EE9" w:rsidRPr="005401D8" w:rsidRDefault="00532EE9" w:rsidP="005401D8">
      <w:pPr>
        <w:rPr>
          <w:rFonts w:cs="Arial"/>
          <w:szCs w:val="20"/>
          <w:lang w:val="es-PE"/>
        </w:rPr>
      </w:pPr>
      <w:r w:rsidRPr="007D0E63">
        <w:rPr>
          <w:rFonts w:cs="Arial"/>
          <w:szCs w:val="20"/>
          <w:lang w:val="es-ES"/>
        </w:rPr>
        <w:t xml:space="preserve">Por otro lado, en la fase de ejecución se deben revisar las </w:t>
      </w:r>
      <w:r w:rsidRPr="007D0E63">
        <w:rPr>
          <w:rFonts w:cs="Arial"/>
          <w:szCs w:val="20"/>
          <w:lang w:val="es-PE"/>
        </w:rPr>
        <w:t>metas del ejercicio vigente</w:t>
      </w:r>
      <w:r w:rsidRPr="007D0E63">
        <w:rPr>
          <w:rFonts w:cs="Arial"/>
          <w:szCs w:val="20"/>
          <w:lang w:val="es-ES"/>
        </w:rPr>
        <w:t>, r</w:t>
      </w:r>
      <w:r w:rsidRPr="007D0E63">
        <w:rPr>
          <w:rFonts w:cs="Arial"/>
          <w:szCs w:val="20"/>
          <w:lang w:val="es-PE"/>
        </w:rPr>
        <w:t xml:space="preserve">evisar la ejecución del ejercicio anterior y ajustar las metas del ejercicio vigente con marco presupuestal aprobado. Además, se debe proceder a la revisión de avance de ejecución acumulada de los </w:t>
      </w:r>
      <w:r w:rsidRPr="007D0E63">
        <w:rPr>
          <w:rFonts w:cs="Arial"/>
          <w:szCs w:val="20"/>
          <w:lang w:val="es-PE"/>
        </w:rPr>
        <w:lastRenderedPageBreak/>
        <w:t>PP en los meses de Marzo (1er Trimestre) y Setiembre (3er Trimestre) e identificación de acciones correctivas y de los responsables de su implementación. Finalmente, se deberá proceder con una evaluación presupuestal semestral y anual del PP.</w:t>
      </w:r>
    </w:p>
    <w:p w14:paraId="394D1756" w14:textId="60D2A254" w:rsidR="001D62F0" w:rsidRPr="007D0E63" w:rsidRDefault="001D62F0" w:rsidP="005401D8">
      <w:pPr>
        <w:pStyle w:val="Ttulo2"/>
        <w:pageBreakBefore/>
        <w:rPr>
          <w:rFonts w:cs="Arial"/>
        </w:rPr>
      </w:pPr>
      <w:bookmarkStart w:id="9" w:name="_Toc299554794"/>
      <w:r w:rsidRPr="007D0E63">
        <w:rPr>
          <w:rFonts w:cs="Arial"/>
        </w:rPr>
        <w:lastRenderedPageBreak/>
        <w:t xml:space="preserve">Anexo </w:t>
      </w:r>
      <w:r w:rsidR="00532EE9">
        <w:rPr>
          <w:rFonts w:cs="Arial"/>
        </w:rPr>
        <w:t>6</w:t>
      </w:r>
      <w:r w:rsidRPr="007D0E63">
        <w:rPr>
          <w:rFonts w:cs="Arial"/>
        </w:rPr>
        <w:t>: Fases del proceso del Presupuesto Participativo basado en Resultados</w:t>
      </w:r>
      <w:bookmarkEnd w:id="9"/>
    </w:p>
    <w:p w14:paraId="5D851AC7" w14:textId="79FB3818" w:rsidR="001D62F0" w:rsidRPr="007D0E63" w:rsidRDefault="001D62F0" w:rsidP="001D62F0">
      <w:pPr>
        <w:rPr>
          <w:rFonts w:cs="Arial"/>
          <w:lang w:val="es-ES"/>
        </w:rPr>
      </w:pPr>
      <w:r w:rsidRPr="007D0E63">
        <w:rPr>
          <w:rFonts w:cs="Arial"/>
        </w:rPr>
        <w:t xml:space="preserve">El proceso del Presupuesto Participativo Basado en Resultados se realiza tomando en cuenta la realidad territorial y organizativa de cada gobierno regional o gobierno local. </w:t>
      </w:r>
      <w:r w:rsidRPr="007D0E63">
        <w:rPr>
          <w:rFonts w:cs="Arial"/>
          <w:lang w:val="es-ES"/>
        </w:rPr>
        <w:t>Por ello el procedimiento básico para el desarrollo del proceso debe ser adaptado por estos gobiernos, en función a sus particularidades y experiencias previas en la implementación de los presupuestos participativos. Con la metodología establecida, los pasos a seguir en cada f</w:t>
      </w:r>
      <w:r w:rsidR="005401D8">
        <w:rPr>
          <w:rFonts w:cs="Arial"/>
          <w:lang w:val="es-ES"/>
        </w:rPr>
        <w:t>ase son los siguientes (Figura 6</w:t>
      </w:r>
      <w:r w:rsidRPr="007D0E63">
        <w:rPr>
          <w:rFonts w:cs="Arial"/>
          <w:lang w:val="es-ES"/>
        </w:rPr>
        <w:t>A):</w:t>
      </w:r>
    </w:p>
    <w:p w14:paraId="56612AA5" w14:textId="21C7B624" w:rsidR="001D62F0" w:rsidRPr="005401D8" w:rsidRDefault="001D62F0" w:rsidP="001D62F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sz w:val="18"/>
          <w:szCs w:val="20"/>
        </w:rPr>
      </w:pPr>
      <w:r w:rsidRPr="005401D8">
        <w:rPr>
          <w:rFonts w:cs="Arial"/>
          <w:b/>
          <w:sz w:val="18"/>
          <w:szCs w:val="20"/>
          <w:lang w:val="es-ES"/>
        </w:rPr>
        <w:t xml:space="preserve">Figura </w:t>
      </w:r>
      <w:r w:rsidR="00532EE9" w:rsidRPr="005401D8">
        <w:rPr>
          <w:rFonts w:cs="Arial"/>
          <w:b/>
          <w:sz w:val="18"/>
          <w:szCs w:val="20"/>
          <w:lang w:val="es-ES"/>
        </w:rPr>
        <w:t>6</w:t>
      </w:r>
      <w:r w:rsidRPr="005401D8">
        <w:rPr>
          <w:rFonts w:cs="Arial"/>
          <w:b/>
          <w:sz w:val="18"/>
          <w:szCs w:val="20"/>
          <w:lang w:val="es-ES"/>
        </w:rPr>
        <w:t>A:</w:t>
      </w:r>
      <w:r w:rsidRPr="005401D8">
        <w:rPr>
          <w:rFonts w:cs="Arial"/>
          <w:sz w:val="18"/>
          <w:szCs w:val="20"/>
          <w:lang w:val="es-ES"/>
        </w:rPr>
        <w:t xml:space="preserve"> Fases del proceso del Presupuesto Participativo basado en resultados</w:t>
      </w:r>
    </w:p>
    <w:p w14:paraId="68ADDA6C" w14:textId="77777777" w:rsidR="001D62F0" w:rsidRPr="007D0E63" w:rsidRDefault="001D62F0" w:rsidP="001D62F0">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color w:val="107D3B"/>
          <w:szCs w:val="20"/>
          <w:lang w:val="es-ES"/>
        </w:rPr>
      </w:pPr>
      <w:r w:rsidRPr="007D0E63">
        <w:rPr>
          <w:rFonts w:cs="Arial"/>
          <w:noProof/>
          <w:szCs w:val="20"/>
          <w:lang w:val="es-PE" w:eastAsia="es-PE"/>
        </w:rPr>
        <w:drawing>
          <wp:inline distT="0" distB="0" distL="0" distR="0" wp14:anchorId="6A0287B8" wp14:editId="7E1D8B29">
            <wp:extent cx="4687648" cy="3804908"/>
            <wp:effectExtent l="0" t="0" r="1143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688493" cy="3805593"/>
                    </a:xfrm>
                    <a:prstGeom prst="rect">
                      <a:avLst/>
                    </a:prstGeom>
                    <a:noFill/>
                    <a:ln>
                      <a:noFill/>
                    </a:ln>
                  </pic:spPr>
                </pic:pic>
              </a:graphicData>
            </a:graphic>
          </wp:inline>
        </w:drawing>
      </w:r>
    </w:p>
    <w:p w14:paraId="70A1634F" w14:textId="77777777" w:rsidR="001D62F0" w:rsidRPr="005401D8" w:rsidRDefault="001D62F0" w:rsidP="001D62F0">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Arial"/>
          <w:sz w:val="16"/>
          <w:szCs w:val="20"/>
          <w:lang w:val="es-ES"/>
        </w:rPr>
      </w:pPr>
      <w:r w:rsidRPr="005401D8">
        <w:rPr>
          <w:rFonts w:cs="Arial"/>
          <w:sz w:val="16"/>
          <w:szCs w:val="20"/>
          <w:lang w:val="es-ES"/>
        </w:rPr>
        <w:t>Fuente: USAID (2010).</w:t>
      </w:r>
    </w:p>
    <w:p w14:paraId="7A6BB41F" w14:textId="77777777" w:rsidR="001D62F0" w:rsidRPr="007D0E63" w:rsidRDefault="001D62F0" w:rsidP="001D62F0">
      <w:pPr>
        <w:rPr>
          <w:rFonts w:cs="Arial"/>
        </w:rPr>
      </w:pPr>
      <w:r w:rsidRPr="007D0E63">
        <w:rPr>
          <w:rFonts w:cs="Arial"/>
        </w:rPr>
        <w:t>1. Fase de preparación</w:t>
      </w:r>
    </w:p>
    <w:p w14:paraId="10EA1528" w14:textId="77777777" w:rsidR="001D62F0" w:rsidRPr="007D0E63" w:rsidRDefault="001D62F0" w:rsidP="001D62F0">
      <w:pPr>
        <w:rPr>
          <w:rFonts w:cs="Arial"/>
        </w:rPr>
      </w:pPr>
      <w:r w:rsidRPr="007D0E63">
        <w:rPr>
          <w:rFonts w:cs="Arial"/>
        </w:rPr>
        <w:t>Esta fase es de responsabilidad del Gobierno Regional o Gobierno Local, según corresponda, en coordinación con sus respectivos Consejos de Coordinación. El desarrollo de las acciones de comunicación, sensibilización, convocatoria, identificación y capacitación de los agentes participantes para el desarrollo del proceso, debe realizarse oportunamente y con la suficiente anticipación, por lo que esta fase debería iniciarse en el mes de enero del ejercicio previo.</w:t>
      </w:r>
      <w:r w:rsidRPr="007D0E63" w:rsidDel="005668AF">
        <w:rPr>
          <w:rFonts w:cs="Arial"/>
        </w:rPr>
        <w:t xml:space="preserve"> </w:t>
      </w:r>
    </w:p>
    <w:p w14:paraId="7F3A57CD" w14:textId="77777777" w:rsidR="001D62F0" w:rsidRPr="007D0E63" w:rsidRDefault="001D62F0" w:rsidP="001D62F0">
      <w:pPr>
        <w:rPr>
          <w:rFonts w:cs="Arial"/>
        </w:rPr>
      </w:pPr>
      <w:r w:rsidRPr="007D0E63">
        <w:rPr>
          <w:rFonts w:cs="Arial"/>
        </w:rPr>
        <w:t>2. Fase de concertación</w:t>
      </w:r>
    </w:p>
    <w:p w14:paraId="7C473D1E" w14:textId="77777777" w:rsidR="001D62F0" w:rsidRPr="007D0E63" w:rsidRDefault="001D62F0" w:rsidP="001D62F0">
      <w:pPr>
        <w:rPr>
          <w:rFonts w:cs="Arial"/>
          <w:szCs w:val="20"/>
        </w:rPr>
      </w:pPr>
      <w:r w:rsidRPr="007D0E63">
        <w:rPr>
          <w:rFonts w:cs="Arial"/>
          <w:szCs w:val="20"/>
        </w:rPr>
        <w:lastRenderedPageBreak/>
        <w:t>En esta fase se reúnen los funcionarios del Estado y de la sociedad civil para desarrollar un trabajo concertado de diagnóstico, identificación y priorización de resultados y de proyectos de inversión que favorezcan a la población, sobre todo en aquellos sectores con mayores necesidades de servicios básicos.</w:t>
      </w:r>
    </w:p>
    <w:p w14:paraId="5400AC98" w14:textId="77777777" w:rsidR="001D62F0" w:rsidRPr="007D0E63" w:rsidRDefault="001D62F0" w:rsidP="001D62F0">
      <w:pPr>
        <w:rPr>
          <w:rFonts w:cs="Arial"/>
          <w:szCs w:val="20"/>
          <w:lang w:val="es-ES"/>
        </w:rPr>
      </w:pPr>
      <w:r w:rsidRPr="007D0E63">
        <w:rPr>
          <w:rFonts w:cs="Arial"/>
          <w:szCs w:val="20"/>
          <w:lang w:val="es-ES"/>
        </w:rPr>
        <w:t>La fase de concertación se subdivide en: (i) el desarrollo de talleres de trabajo y (ii) la formalización de acuerdos y compromisos del Presupuesto Participativo Basado en Resultados. Con respecto a la primera subdivisión, el Presidente Regional o Alcalde debe convocar la reuniones de trabajo en las cuales se desarrollarán las distintas acciones conducentes a la priorización de resultados, proyectos de inversión y compromisos del Estado y la sociedad civil. Los talleres de trabajo deben culminar en el mes de Junio. En estos talleres de trabajo se deben identificar y priorizar los resultados. Por ello se deben de presentar la visión y objetivos estratégicos (Plan de Desarrollo Concertado o PDC).del PDC, el avance de ejecución y el logro de resultados</w:t>
      </w:r>
      <w:r w:rsidRPr="007D0E63">
        <w:rPr>
          <w:rFonts w:cs="Arial"/>
          <w:szCs w:val="20"/>
          <w:vertAlign w:val="superscript"/>
          <w:lang w:val="es-ES"/>
        </w:rPr>
        <w:footnoteReference w:id="2"/>
      </w:r>
      <w:r w:rsidRPr="007D0E63">
        <w:rPr>
          <w:rFonts w:cs="Arial"/>
          <w:szCs w:val="20"/>
          <w:lang w:val="es-ES"/>
        </w:rPr>
        <w:t xml:space="preserve">.En el segundo paso se identifican los resultados respectos a las metas y a la reducción de brechas para posteriormente permitir una adecuada asignación de los recursos públicos. </w:t>
      </w:r>
    </w:p>
    <w:p w14:paraId="38EA376F" w14:textId="77777777" w:rsidR="001D62F0" w:rsidRPr="007D0E63" w:rsidRDefault="001D62F0" w:rsidP="001D62F0">
      <w:pPr>
        <w:rPr>
          <w:rFonts w:cs="Arial"/>
          <w:szCs w:val="20"/>
          <w:lang w:val="es-ES"/>
        </w:rPr>
      </w:pPr>
      <w:r w:rsidRPr="007D0E63">
        <w:rPr>
          <w:rFonts w:cs="Arial"/>
          <w:szCs w:val="20"/>
          <w:lang w:val="es-ES"/>
        </w:rPr>
        <w:t xml:space="preserve">Pero también es importante una evaluación técnica de los proyectos y una asignación del presupuesto. El objetivo es evaluar las cartera de proyectos que tiene la entidad y que deben ser propuestos para contribuir al logro de los resultados priorizados. </w:t>
      </w:r>
    </w:p>
    <w:p w14:paraId="0C5D6C9A" w14:textId="77777777" w:rsidR="001D62F0" w:rsidRPr="007D0E63" w:rsidRDefault="001D62F0" w:rsidP="001D62F0">
      <w:pPr>
        <w:widowControl w:val="0"/>
        <w:numPr>
          <w:ilvl w:val="0"/>
          <w:numId w:val="2"/>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Para los proyectos de impacto regional: Los gobiernos regionales al determinar los proyectos de impacto regional, deben tener en cuenta que el monto total del proyecto no sea menor a S/. 3 000 000 y que su alcance sea pluriprovincial, debiendo beneficiar a un mínimo de tres (03) distritos que se encuentren ubicados en dos (02) provincias como mínimo. Adicionalmente podrán considerar que su cobertura en la población objetivo no sea menor al 5%, respecto a la población total de la Región.</w:t>
      </w:r>
    </w:p>
    <w:p w14:paraId="771C0A29" w14:textId="77777777" w:rsidR="001D62F0" w:rsidRPr="007D0E63" w:rsidRDefault="001D62F0" w:rsidP="001D62F0">
      <w:pPr>
        <w:ind w:left="720"/>
        <w:contextualSpacing/>
        <w:rPr>
          <w:rFonts w:eastAsiaTheme="minorHAnsi" w:cs="Arial"/>
          <w:szCs w:val="20"/>
          <w:lang w:val="es-PE" w:eastAsia="en-US"/>
        </w:rPr>
      </w:pPr>
      <w:r w:rsidRPr="007D0E63">
        <w:rPr>
          <w:rFonts w:eastAsiaTheme="minorHAnsi" w:cs="Arial"/>
          <w:szCs w:val="20"/>
          <w:lang w:val="es-PE" w:eastAsia="en-US"/>
        </w:rPr>
        <w:t>Si luego de distribuir el financiamiento asignado al Presupuesto Participativo, conforme al criterio señalado en el párrafo precedente, se obtiene un saldo menor a S/. 3 000 000, dicho saldo se orienta a financiar proyectos de impacto regional, utilizando el criterio de cobertura a la población objetivo.</w:t>
      </w:r>
    </w:p>
    <w:p w14:paraId="09BECC45" w14:textId="77777777" w:rsidR="001D62F0" w:rsidRPr="007D0E63" w:rsidRDefault="001D62F0" w:rsidP="001D62F0">
      <w:pPr>
        <w:widowControl w:val="0"/>
        <w:numPr>
          <w:ilvl w:val="0"/>
          <w:numId w:val="2"/>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Para los proyectos de impacto provincial: Las municipalidades provinciales, cuyo monto asignado al presupuesto participativo sea igual o mayor a S/.3 000 000 al determinar los proyectos de impacto provincial, deben tener en cuenta que el monto del proyecto no sea menor a S/.1200000 y que su alcance sea pluridistrital, debiendo beneficiar a un mínimo de dos (02) distritos del ámbito jurisdiccional. Adicionalmente podrán considerar su cobertura en la población objetivo no sea menor al 5%, respecto a la población total de la Provincia.</w:t>
      </w:r>
    </w:p>
    <w:p w14:paraId="77AF32D4" w14:textId="77777777" w:rsidR="001D62F0" w:rsidRPr="007D0E63" w:rsidRDefault="001D62F0" w:rsidP="001D62F0">
      <w:pPr>
        <w:ind w:left="720"/>
        <w:contextualSpacing/>
        <w:rPr>
          <w:rFonts w:eastAsiaTheme="minorHAnsi" w:cs="Arial"/>
          <w:szCs w:val="20"/>
          <w:lang w:val="es-PE" w:eastAsia="en-US"/>
        </w:rPr>
      </w:pPr>
      <w:r w:rsidRPr="007D0E63">
        <w:rPr>
          <w:rFonts w:eastAsiaTheme="minorHAnsi" w:cs="Arial"/>
          <w:szCs w:val="20"/>
          <w:lang w:val="es-PE" w:eastAsia="en-US"/>
        </w:rPr>
        <w:lastRenderedPageBreak/>
        <w:t>Si luego de distribuir el financiamiento asignado al Presupuesto Participativo, conforme al criterio señalado en el párrafo precedente, se obtiene un saldo menor a S/. 1 200 000, dicho saldo se orienta a financiar proyectos de impacto provincial utilizando el criterio de cobertura a la población objetivo señalado en el párrafo anterior. Asimismo, en el caso que el monto asignado al presupuesto participativo sea menor a S/. 3 000 000, los proyectos de impacto provincial sólo consideran el criterio de cobertura en la población objetivo.</w:t>
      </w:r>
    </w:p>
    <w:p w14:paraId="173DDEF6" w14:textId="77777777" w:rsidR="001D62F0" w:rsidRPr="007D0E63" w:rsidRDefault="001D62F0" w:rsidP="001D62F0">
      <w:pPr>
        <w:widowControl w:val="0"/>
        <w:numPr>
          <w:ilvl w:val="0"/>
          <w:numId w:val="2"/>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Para los proyectos de impacto distrital: Las municipalidades distritales, al determinar los proyectos de impacto distrital, no tienen restricción en el monto de la inversión, debiendo tener en cuenta que su alcance contenga acciones cuyos resultados permitan solucionar un problema relevante de la comunidad preferentemente en salud, educación, saneamiento, transporte y comunicaciones, entre otros. Adicionalmente, podrán considerar que su cobertura en la población objetivo no debe ser menor al 5%de la población total del Distrito.</w:t>
      </w:r>
    </w:p>
    <w:p w14:paraId="3B9F453B" w14:textId="77777777" w:rsidR="001D62F0" w:rsidRPr="007D0E63" w:rsidRDefault="001D62F0" w:rsidP="001D62F0">
      <w:pPr>
        <w:rPr>
          <w:rFonts w:cs="Arial"/>
          <w:szCs w:val="20"/>
          <w:lang w:val="es-ES"/>
        </w:rPr>
      </w:pPr>
      <w:r w:rsidRPr="007D0E63">
        <w:rPr>
          <w:rFonts w:cs="Arial"/>
          <w:szCs w:val="20"/>
          <w:lang w:val="es-ES"/>
        </w:rPr>
        <w:t>Luego de identificada la cartera de proyectos de inversión priorizados teniendo en cuenta los costos totales y el cronograma de ejecución, se asignará el presupuesto a cada uno de los proyectos, de acuerdo con la asignación del presupuesto participativo. Si durante la fase de ejecución del presupuesto existiera mayor disponibilidad de recursos, estos proyectos pueden ser incorporados al presupuesto institucional mediante las modificaciones presupuestarias correspondientes.</w:t>
      </w:r>
    </w:p>
    <w:p w14:paraId="682FB54F" w14:textId="77777777" w:rsidR="001D62F0" w:rsidRPr="007D0E63" w:rsidRDefault="001D62F0" w:rsidP="001D62F0">
      <w:pPr>
        <w:rPr>
          <w:rFonts w:cs="Arial"/>
          <w:szCs w:val="20"/>
          <w:lang w:val="es-ES"/>
        </w:rPr>
      </w:pPr>
      <w:r w:rsidRPr="007D0E63">
        <w:rPr>
          <w:rFonts w:cs="Arial"/>
          <w:szCs w:val="20"/>
          <w:lang w:val="es-ES"/>
        </w:rPr>
        <w:t>Finalmente, con respecto a la segunda subdivisión se realizan las siguientes acciones: (i) el equipo técnico elabora el Acta de Acuerdos y Compromisos del Presupuesto Participativo basado en resultados, (ii) el Presidente Regional o el Alcalde presenta los resultados del Presupuesto Participativo, consolidados en el Acta de Acuerdos y Compromisos, a los agentes participantes para su consideración y aprobación final, y (iii) Los miembros de los Consejos de Coordinación, presididos c/u por el Presidente Regional o el Alcalde y demás agentes participantes, formalizan los acuerdos suscribiendo el Acta de Acuerdos y Compromisos, la que debe contener las firmas de todos los agentes participantes.</w:t>
      </w:r>
    </w:p>
    <w:p w14:paraId="094B7F7B" w14:textId="77777777" w:rsidR="001D62F0" w:rsidRPr="007D0E63" w:rsidRDefault="001D62F0" w:rsidP="001D62F0">
      <w:pPr>
        <w:rPr>
          <w:rFonts w:cs="Arial"/>
          <w:szCs w:val="20"/>
          <w:lang w:val="es-ES"/>
        </w:rPr>
      </w:pPr>
      <w:r w:rsidRPr="007D0E63">
        <w:rPr>
          <w:rFonts w:cs="Arial"/>
          <w:szCs w:val="20"/>
          <w:lang w:val="es-ES"/>
        </w:rPr>
        <w:t>Cabe destacar que el documento del Presupuesto Participativo y el Acta de Acuerdos y Compromisos del Proceso Participativo Basado en Resultados deben ser remitidos a la Dirección General del Presupuesto Público, en el plazo establecido por la Directiva de Programación, Formulación y Aprobación del Presupuesto de los gobiernos regionales y de los gobiernos locales para cada año fiscal.</w:t>
      </w:r>
    </w:p>
    <w:p w14:paraId="306634C0" w14:textId="77777777" w:rsidR="001D62F0" w:rsidRPr="007D0E63" w:rsidRDefault="001D62F0" w:rsidP="001D62F0">
      <w:pPr>
        <w:rPr>
          <w:rFonts w:cs="Arial"/>
          <w:szCs w:val="20"/>
        </w:rPr>
      </w:pPr>
      <w:r w:rsidRPr="007D0E63">
        <w:rPr>
          <w:rFonts w:cs="Arial"/>
          <w:szCs w:val="20"/>
        </w:rPr>
        <w:t>3. Fase de Coordinación entre niveles de gobierno</w:t>
      </w:r>
    </w:p>
    <w:p w14:paraId="5C0283E3" w14:textId="77777777" w:rsidR="001D62F0" w:rsidRPr="007D0E63" w:rsidRDefault="001D62F0" w:rsidP="001D62F0">
      <w:pPr>
        <w:rPr>
          <w:rFonts w:cs="Arial"/>
          <w:szCs w:val="20"/>
        </w:rPr>
      </w:pPr>
      <w:r w:rsidRPr="007D0E63">
        <w:rPr>
          <w:rFonts w:cs="Arial"/>
          <w:szCs w:val="20"/>
          <w:lang w:val="es-ES"/>
        </w:rPr>
        <w:t xml:space="preserve">En esta fase los gobiernos regionales organizan los mecanismos de coordinación y consistencia presupuestaria con los gobiernos locales de su jurisdicción en materia de gastos de inversión y entre niveles de gobierno, respetando competencias y procurando economías de </w:t>
      </w:r>
      <w:r w:rsidRPr="007D0E63">
        <w:rPr>
          <w:rFonts w:cs="Arial"/>
          <w:szCs w:val="20"/>
          <w:lang w:val="es-ES"/>
        </w:rPr>
        <w:lastRenderedPageBreak/>
        <w:t>escala y concertación de esfuerzos.</w:t>
      </w:r>
      <w:r w:rsidRPr="007D0E63" w:rsidDel="00E664B3">
        <w:rPr>
          <w:rFonts w:cs="Arial"/>
          <w:szCs w:val="20"/>
        </w:rPr>
        <w:t xml:space="preserve"> </w:t>
      </w:r>
      <w:r w:rsidRPr="007D0E63">
        <w:rPr>
          <w:rFonts w:cs="Arial"/>
          <w:szCs w:val="20"/>
        </w:rPr>
        <w:t xml:space="preserve">A nivel regional, la coordinación es dirigida por el presidente del gobierno regional y a nivel provincial por el alcalde provincial. </w:t>
      </w:r>
    </w:p>
    <w:p w14:paraId="678A8902" w14:textId="77777777" w:rsidR="001D62F0" w:rsidRPr="007D0E63" w:rsidRDefault="001D62F0" w:rsidP="001D62F0">
      <w:pPr>
        <w:rPr>
          <w:rFonts w:cs="Arial"/>
          <w:szCs w:val="20"/>
        </w:rPr>
      </w:pPr>
      <w:r w:rsidRPr="007D0E63">
        <w:rPr>
          <w:rFonts w:cs="Arial"/>
          <w:szCs w:val="20"/>
        </w:rPr>
        <w:t>Los proyectos que sean financiados por el gobierno regional bajo el principio de subsidiariedad</w:t>
      </w:r>
      <w:r w:rsidRPr="007D0E63">
        <w:rPr>
          <w:rFonts w:cs="Arial"/>
          <w:szCs w:val="20"/>
          <w:vertAlign w:val="superscript"/>
        </w:rPr>
        <w:footnoteReference w:id="3"/>
      </w:r>
      <w:r w:rsidRPr="007D0E63">
        <w:rPr>
          <w:rFonts w:cs="Arial"/>
          <w:szCs w:val="20"/>
        </w:rPr>
        <w:t xml:space="preserve"> y que beneficien a un ámbito provincial y/o distrital, deben contar con el cofinanciamiento del gobierno local provincial o distrital beneficiario. Del mismo modo, los proyectos que sean financiados por un gobierno local provincial, deben contar igualmente con el cofinanciamiento del gobierno local distrital beneficiario. </w:t>
      </w:r>
    </w:p>
    <w:p w14:paraId="48B700FF" w14:textId="77777777" w:rsidR="001D62F0" w:rsidRPr="007D0E63" w:rsidRDefault="001D62F0" w:rsidP="001D62F0">
      <w:pPr>
        <w:rPr>
          <w:rFonts w:cs="Arial"/>
          <w:szCs w:val="20"/>
        </w:rPr>
      </w:pPr>
      <w:r w:rsidRPr="007D0E63">
        <w:rPr>
          <w:rFonts w:cs="Arial"/>
          <w:szCs w:val="20"/>
        </w:rPr>
        <w:t>4. Fase de formalización</w:t>
      </w:r>
    </w:p>
    <w:p w14:paraId="2FAE065D" w14:textId="77777777" w:rsidR="001D62F0" w:rsidRPr="007D0E63" w:rsidRDefault="001D62F0" w:rsidP="001D62F0">
      <w:pPr>
        <w:widowControl w:val="0"/>
        <w:autoSpaceDE w:val="0"/>
        <w:autoSpaceDN w:val="0"/>
        <w:adjustRightInd w:val="0"/>
        <w:rPr>
          <w:rFonts w:cs="Arial"/>
          <w:szCs w:val="20"/>
          <w:lang w:val="es-ES"/>
        </w:rPr>
      </w:pPr>
      <w:r w:rsidRPr="007D0E63">
        <w:rPr>
          <w:rFonts w:cs="Arial"/>
          <w:szCs w:val="20"/>
          <w:lang w:val="es-ES"/>
        </w:rPr>
        <w:t>Los acuerdos y compromisos adoptados en el Proceso Participativo, se formalizan en el mes de junio. Estos proyectos deben ser incluidos en el Presupuesto Institucional de Apertura (PIA) del gobierno correspondiente para su aprobación por el Consejo Regional y Concejo Municipal, según corresponda. Si en la etapa de ejecución, alguno de los proyectos priorizados en el presupuesto participativo no puede ser ejecutado, el presidente Regional o alcalde dispondrá el reemplazo de dicho proyecto por otro, según la escala de prioridades establecida participativamente.</w:t>
      </w:r>
    </w:p>
    <w:p w14:paraId="4236DB74" w14:textId="77777777" w:rsidR="001D62F0" w:rsidRPr="007D0E63" w:rsidRDefault="001D62F0" w:rsidP="001D62F0">
      <w:pPr>
        <w:rPr>
          <w:rFonts w:cs="Arial"/>
          <w:szCs w:val="20"/>
          <w:lang w:val="es-ES"/>
        </w:rPr>
      </w:pPr>
      <w:r w:rsidRPr="007D0E63">
        <w:rPr>
          <w:rFonts w:cs="Arial"/>
          <w:szCs w:val="20"/>
          <w:lang w:val="es-ES"/>
        </w:rPr>
        <w:t xml:space="preserve">Con respecto a la Rendición de Cuentas correspondiente al ejercicio anterior, ésta deberá realizarse a más tardar en el mes de marzo, siendo responsabilidad del Presidente Regional y del Alcalde. Todos los agentes participantes son responsables de participar en dicho acto pues a través de este mecanismo se permite evaluar el desarrollo del proceso y generar así elementos para concertar, asumir y medir responsabilidades y compromisos frente al cumplimiento de las acciones trazadas participativamente. Los principales elementos a tratar  en esta fase son: </w:t>
      </w:r>
    </w:p>
    <w:p w14:paraId="4D8DB76C" w14:textId="77777777" w:rsidR="001D62F0" w:rsidRPr="007D0E63" w:rsidRDefault="001D62F0" w:rsidP="001D62F0">
      <w:pPr>
        <w:widowControl w:val="0"/>
        <w:numPr>
          <w:ilvl w:val="0"/>
          <w:numId w:val="4"/>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La programación y nivel de avance en la ejecución y resultados de los proyectos priorizados en el proceso del Presupuesto Participativo del año anterior (en términos de población beneficiada y problemas resueltos).</w:t>
      </w:r>
    </w:p>
    <w:p w14:paraId="50C2929C" w14:textId="77777777" w:rsidR="001D62F0" w:rsidRPr="007D0E63" w:rsidRDefault="001D62F0" w:rsidP="001D62F0">
      <w:pPr>
        <w:widowControl w:val="0"/>
        <w:numPr>
          <w:ilvl w:val="0"/>
          <w:numId w:val="4"/>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Sustentar los cambios efectuados a los proyectos priorizados en el Presupuesto Participativo anterior y modificaciones presupuestarias realizadas.</w:t>
      </w:r>
    </w:p>
    <w:p w14:paraId="537F457C" w14:textId="77777777" w:rsidR="001D62F0" w:rsidRPr="007D0E63" w:rsidRDefault="001D62F0" w:rsidP="001D62F0">
      <w:pPr>
        <w:widowControl w:val="0"/>
        <w:numPr>
          <w:ilvl w:val="0"/>
          <w:numId w:val="4"/>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Nivel de cumplimiento de los compromisos asumidos por cada uno de los actores, públicos y privados participantes del proceso.</w:t>
      </w:r>
    </w:p>
    <w:p w14:paraId="54998594" w14:textId="77777777" w:rsidR="001D62F0" w:rsidRPr="007D0E63" w:rsidRDefault="001D62F0" w:rsidP="001D62F0">
      <w:pPr>
        <w:widowControl w:val="0"/>
        <w:numPr>
          <w:ilvl w:val="0"/>
          <w:numId w:val="4"/>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Presupuesto Institucional de Apertura del presente ejercicio.</w:t>
      </w:r>
    </w:p>
    <w:p w14:paraId="20A66F4F" w14:textId="77777777" w:rsidR="001D62F0" w:rsidRPr="007D0E63" w:rsidRDefault="001D62F0" w:rsidP="001D62F0">
      <w:pPr>
        <w:widowControl w:val="0"/>
        <w:numPr>
          <w:ilvl w:val="0"/>
          <w:numId w:val="4"/>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Las autoridades informan respecto a los resultados de su gestión en el año anterior a nivel de actividades, proyectos y logro de los objetivos estratégicos del Plan de Desarrollo Concertado.</w:t>
      </w:r>
    </w:p>
    <w:p w14:paraId="2C08FCCC" w14:textId="77777777" w:rsidR="001D62F0" w:rsidRPr="007D0E63" w:rsidRDefault="001D62F0" w:rsidP="001D62F0">
      <w:pPr>
        <w:rPr>
          <w:rFonts w:cs="Arial"/>
          <w:szCs w:val="20"/>
          <w:lang w:val="es-ES"/>
        </w:rPr>
      </w:pPr>
      <w:r w:rsidRPr="007D0E63">
        <w:rPr>
          <w:rFonts w:cs="Arial"/>
          <w:szCs w:val="20"/>
          <w:lang w:val="es-ES"/>
        </w:rPr>
        <w:t>5. Fase de particularidades del Presupuesto Participativo en los gobiernos regionales</w:t>
      </w:r>
    </w:p>
    <w:p w14:paraId="6FD6E271" w14:textId="77777777" w:rsidR="001D62F0" w:rsidRPr="007D0E63" w:rsidRDefault="001D62F0" w:rsidP="001D62F0">
      <w:pPr>
        <w:rPr>
          <w:rFonts w:cs="Arial"/>
          <w:szCs w:val="20"/>
          <w:lang w:val="es-ES"/>
        </w:rPr>
      </w:pPr>
      <w:r w:rsidRPr="007D0E63">
        <w:rPr>
          <w:rFonts w:cs="Arial"/>
          <w:szCs w:val="20"/>
          <w:lang w:val="es-ES"/>
        </w:rPr>
        <w:lastRenderedPageBreak/>
        <w:t>De acuerdo a la Ley Nº 29298, los Gobiernos Regionales son los responsables de informar y promover la articulación de los Presupuestos Participativos formulados por los Consejos de Coordinación Local y Regional de sus ámbitos</w:t>
      </w:r>
    </w:p>
    <w:p w14:paraId="21B9FC11" w14:textId="77777777" w:rsidR="001D62F0" w:rsidRPr="007D0E63" w:rsidRDefault="001D62F0" w:rsidP="001D62F0">
      <w:pPr>
        <w:widowControl w:val="0"/>
        <w:numPr>
          <w:ilvl w:val="0"/>
          <w:numId w:val="3"/>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Los gobiernos regionales adecuan sus procesos participativos de acuerdo a las necesidades y características de la situación financiera regional, pudiendo estos ser multianuales.</w:t>
      </w:r>
    </w:p>
    <w:p w14:paraId="7707EB1E" w14:textId="77777777" w:rsidR="001D62F0" w:rsidRPr="007D0E63" w:rsidRDefault="001D62F0" w:rsidP="001D62F0">
      <w:pPr>
        <w:widowControl w:val="0"/>
        <w:numPr>
          <w:ilvl w:val="0"/>
          <w:numId w:val="3"/>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La instancia del presupuesto participativo la constituyen únicamente el Consejo de Coordinación Regional, en el que forman parte, entre otros, los Alcaldes provinciales quienes recogen las necesidades de sus distritos para el debate de prioridades en el presupuesto regional.</w:t>
      </w:r>
    </w:p>
    <w:p w14:paraId="05D3E107" w14:textId="77777777" w:rsidR="001D62F0" w:rsidRPr="007D0E63" w:rsidRDefault="001D62F0" w:rsidP="001D62F0">
      <w:pPr>
        <w:widowControl w:val="0"/>
        <w:numPr>
          <w:ilvl w:val="0"/>
          <w:numId w:val="3"/>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Los Planes de Desarrollo Concertados Regionales aprobados en los respectivos Consejos de Coordinación que contengan proyectos de inversión de mediano y largo plazo, pueden constituir a su vez presupuestos participativos multianuales.</w:t>
      </w:r>
    </w:p>
    <w:p w14:paraId="2C6C783A" w14:textId="77777777" w:rsidR="001D62F0" w:rsidRPr="007D0E63" w:rsidRDefault="001D62F0" w:rsidP="001D62F0">
      <w:pPr>
        <w:widowControl w:val="0"/>
        <w:numPr>
          <w:ilvl w:val="0"/>
          <w:numId w:val="3"/>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Los proyectos de inversión aprobados en los Presupuestos Participativos regionales se ajustan a las características de los proyectos de impacto regional y deben estar dentro de su competencia.</w:t>
      </w:r>
    </w:p>
    <w:p w14:paraId="584D02C4" w14:textId="77777777" w:rsidR="001D62F0" w:rsidRPr="007D0E63" w:rsidRDefault="001D62F0" w:rsidP="001D62F0">
      <w:pPr>
        <w:widowControl w:val="0"/>
        <w:numPr>
          <w:ilvl w:val="0"/>
          <w:numId w:val="3"/>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Los gobiernos regionales pueden aprobar, como parte del Presupuesto Participativo, programas de proyectos sectoriales (educación, salud, saneamiento, agricultura, transporte, electrificación, etc.) que en conjunto reúnan las características de proyectos de impacto regional tipificados en el marco normativo vigente.</w:t>
      </w:r>
    </w:p>
    <w:p w14:paraId="63D0AD10" w14:textId="1BDA8E18" w:rsidR="00547565" w:rsidRPr="006778F2" w:rsidRDefault="001D62F0" w:rsidP="00547565">
      <w:pPr>
        <w:widowControl w:val="0"/>
        <w:numPr>
          <w:ilvl w:val="0"/>
          <w:numId w:val="3"/>
        </w:numPr>
        <w:tabs>
          <w:tab w:val="left" w:pos="220"/>
          <w:tab w:val="left" w:pos="720"/>
        </w:tabs>
        <w:autoSpaceDE w:val="0"/>
        <w:autoSpaceDN w:val="0"/>
        <w:adjustRightInd w:val="0"/>
        <w:spacing w:before="60"/>
        <w:contextualSpacing/>
        <w:rPr>
          <w:rFonts w:eastAsiaTheme="minorHAnsi" w:cs="Arial"/>
          <w:szCs w:val="20"/>
          <w:lang w:val="es-PE" w:eastAsia="en-US"/>
        </w:rPr>
      </w:pPr>
      <w:r w:rsidRPr="007D0E63">
        <w:rPr>
          <w:rFonts w:eastAsiaTheme="minorHAnsi" w:cs="Arial"/>
          <w:szCs w:val="20"/>
          <w:lang w:val="es-PE" w:eastAsia="en-US"/>
        </w:rPr>
        <w:t>Los proyectos de inversión aprobados en el marco del Presupuesto Participativo deben iniciar su gestión (elaboración de expedientes técnicos) inmediatamente culminado el proceso participativo: julio del año anterior.</w:t>
      </w:r>
    </w:p>
    <w:p w14:paraId="303A0049" w14:textId="77777777" w:rsidR="00547565" w:rsidRPr="007D0E63" w:rsidRDefault="00547565" w:rsidP="00547565">
      <w:pPr>
        <w:rPr>
          <w:rFonts w:eastAsiaTheme="majorEastAsia" w:cs="Arial"/>
          <w:b/>
          <w:bCs/>
          <w:color w:val="4F81BD" w:themeColor="accent1"/>
          <w:szCs w:val="20"/>
        </w:rPr>
      </w:pPr>
    </w:p>
    <w:p w14:paraId="3C29B455" w14:textId="23EB466B" w:rsidR="00547565" w:rsidRPr="007D0E63" w:rsidRDefault="00547565" w:rsidP="005401D8">
      <w:pPr>
        <w:pStyle w:val="Ttulo2"/>
        <w:pageBreakBefore/>
        <w:rPr>
          <w:rFonts w:cs="Arial"/>
        </w:rPr>
      </w:pPr>
      <w:bookmarkStart w:id="10" w:name="_Toc299554795"/>
      <w:r w:rsidRPr="007D0E63">
        <w:rPr>
          <w:rFonts w:cs="Arial"/>
        </w:rPr>
        <w:lastRenderedPageBreak/>
        <w:t xml:space="preserve">Anexo </w:t>
      </w:r>
      <w:r w:rsidR="0098710A">
        <w:rPr>
          <w:rFonts w:cs="Arial"/>
        </w:rPr>
        <w:t>7</w:t>
      </w:r>
      <w:r w:rsidRPr="007D0E63">
        <w:rPr>
          <w:rFonts w:cs="Arial"/>
        </w:rPr>
        <w:t>: Fases y Entidades en el Sistema Nacional de Inversión Pública</w:t>
      </w:r>
      <w:bookmarkEnd w:id="10"/>
    </w:p>
    <w:p w14:paraId="0ED0BF42" w14:textId="2CBA3308" w:rsidR="00547565" w:rsidRDefault="00547565" w:rsidP="00547565">
      <w:pPr>
        <w:rPr>
          <w:rFonts w:cs="Arial"/>
          <w:lang w:val="es-ES"/>
        </w:rPr>
      </w:pPr>
      <w:r w:rsidRPr="007D0E63">
        <w:rPr>
          <w:rFonts w:cs="Arial"/>
          <w:lang w:val="es-ES"/>
        </w:rPr>
        <w:t xml:space="preserve">Los Proyectos de Inversión Pública se sujetan </w:t>
      </w:r>
      <w:r w:rsidR="005401D8">
        <w:rPr>
          <w:rFonts w:cs="Arial"/>
          <w:lang w:val="es-ES"/>
        </w:rPr>
        <w:t>a las siguientes fases (Figura 7</w:t>
      </w:r>
      <w:r w:rsidRPr="007D0E63">
        <w:rPr>
          <w:rFonts w:cs="Arial"/>
          <w:lang w:val="es-ES"/>
        </w:rPr>
        <w:t xml:space="preserve">A): </w:t>
      </w:r>
    </w:p>
    <w:p w14:paraId="11EF9A2E" w14:textId="214D8017" w:rsidR="005401D8" w:rsidRPr="005401D8" w:rsidRDefault="005401D8" w:rsidP="005401D8">
      <w:pPr>
        <w:pBdr>
          <w:top w:val="single" w:sz="4" w:space="1" w:color="auto"/>
          <w:left w:val="single" w:sz="4" w:space="4" w:color="auto"/>
          <w:bottom w:val="single" w:sz="4" w:space="1" w:color="auto"/>
          <w:right w:val="single" w:sz="4" w:space="4" w:color="auto"/>
        </w:pBdr>
        <w:jc w:val="center"/>
        <w:rPr>
          <w:rFonts w:eastAsiaTheme="majorEastAsia" w:cs="Arial"/>
          <w:b/>
          <w:bCs/>
          <w:color w:val="4F81BD" w:themeColor="accent1"/>
          <w:sz w:val="18"/>
          <w:szCs w:val="20"/>
        </w:rPr>
      </w:pPr>
      <w:r w:rsidRPr="005401D8">
        <w:rPr>
          <w:rFonts w:cs="Arial"/>
          <w:b/>
          <w:sz w:val="18"/>
          <w:lang w:val="es-ES"/>
        </w:rPr>
        <w:t>Figura 7A:</w:t>
      </w:r>
      <w:r w:rsidRPr="005401D8">
        <w:rPr>
          <w:rFonts w:cs="Arial"/>
          <w:sz w:val="18"/>
          <w:lang w:val="es-ES"/>
        </w:rPr>
        <w:t xml:space="preserve"> Fases de los Proyectos de Inversión</w:t>
      </w:r>
    </w:p>
    <w:p w14:paraId="245CA9EC" w14:textId="7CB75BE6" w:rsidR="005401D8" w:rsidRPr="005401D8" w:rsidRDefault="005401D8" w:rsidP="005401D8">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rPr>
          <w:rFonts w:cs="Arial"/>
          <w:color w:val="FF0000"/>
          <w:szCs w:val="20"/>
          <w:lang w:val="es-ES"/>
        </w:rPr>
      </w:pPr>
      <w:r w:rsidRPr="007D0E63">
        <w:rPr>
          <w:rFonts w:cs="Arial"/>
          <w:noProof/>
          <w:color w:val="FF0000"/>
          <w:szCs w:val="20"/>
          <w:lang w:val="es-PE" w:eastAsia="es-PE"/>
        </w:rPr>
        <w:drawing>
          <wp:inline distT="0" distB="0" distL="0" distR="0" wp14:anchorId="396EC6CB" wp14:editId="69CD1BFB">
            <wp:extent cx="5396230" cy="6386403"/>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6230" cy="6386403"/>
                    </a:xfrm>
                    <a:prstGeom prst="rect">
                      <a:avLst/>
                    </a:prstGeom>
                    <a:noFill/>
                    <a:ln>
                      <a:noFill/>
                    </a:ln>
                  </pic:spPr>
                </pic:pic>
              </a:graphicData>
            </a:graphic>
          </wp:inline>
        </w:drawing>
      </w:r>
    </w:p>
    <w:p w14:paraId="7945F3C8" w14:textId="77777777" w:rsidR="00547565" w:rsidRPr="007D0E63" w:rsidRDefault="00547565" w:rsidP="00547565">
      <w:pPr>
        <w:pStyle w:val="Prrafodelista"/>
        <w:numPr>
          <w:ilvl w:val="0"/>
          <w:numId w:val="6"/>
        </w:numPr>
        <w:spacing w:after="240"/>
        <w:rPr>
          <w:rFonts w:cs="Arial"/>
          <w:lang w:val="es-ES"/>
        </w:rPr>
      </w:pPr>
      <w:r w:rsidRPr="007D0E63">
        <w:rPr>
          <w:rFonts w:cs="Arial"/>
          <w:lang w:val="es-ES"/>
        </w:rPr>
        <w:t>Fase de Preinversión</w:t>
      </w:r>
    </w:p>
    <w:p w14:paraId="0BA63153" w14:textId="77777777" w:rsidR="00547565" w:rsidRPr="007D0E63" w:rsidRDefault="00547565" w:rsidP="00547565">
      <w:pPr>
        <w:ind w:left="708"/>
        <w:rPr>
          <w:rFonts w:cs="Arial"/>
          <w:lang w:val="es-ES"/>
        </w:rPr>
      </w:pPr>
      <w:r w:rsidRPr="007D0E63">
        <w:rPr>
          <w:rFonts w:cs="Arial"/>
          <w:lang w:val="es-ES"/>
        </w:rPr>
        <w:t xml:space="preserve">Esta fase comprende la elaboración del perfil, del estudio de </w:t>
      </w:r>
      <w:proofErr w:type="spellStart"/>
      <w:r w:rsidRPr="007D0E63">
        <w:rPr>
          <w:rFonts w:cs="Arial"/>
          <w:lang w:val="es-ES"/>
        </w:rPr>
        <w:t>prefactibilidad</w:t>
      </w:r>
      <w:proofErr w:type="spellEnd"/>
      <w:r w:rsidRPr="007D0E63">
        <w:rPr>
          <w:rFonts w:cs="Arial"/>
          <w:lang w:val="es-ES"/>
        </w:rPr>
        <w:t xml:space="preserve"> y del estudio de factibilidad. Por un lado, la elaboración del Perfil es obligatoria, mientras que los estudios de </w:t>
      </w:r>
      <w:proofErr w:type="spellStart"/>
      <w:r w:rsidRPr="007D0E63">
        <w:rPr>
          <w:rFonts w:cs="Arial"/>
          <w:lang w:val="es-ES"/>
        </w:rPr>
        <w:t>prefactibilidad</w:t>
      </w:r>
      <w:proofErr w:type="spellEnd"/>
      <w:r w:rsidRPr="007D0E63">
        <w:rPr>
          <w:rFonts w:cs="Arial"/>
          <w:lang w:val="es-ES"/>
        </w:rPr>
        <w:t xml:space="preserve"> y factibilidad pueden no ser requeridos dependiendo de las características del proyecto.  (Numeral 10.1, Art. 10 de la Ley No 27293). </w:t>
      </w:r>
    </w:p>
    <w:p w14:paraId="01BF05C3" w14:textId="77777777" w:rsidR="00547565" w:rsidRPr="007D0E63" w:rsidRDefault="00547565" w:rsidP="00547565">
      <w:pPr>
        <w:widowControl w:val="0"/>
        <w:tabs>
          <w:tab w:val="left" w:pos="0"/>
          <w:tab w:val="left" w:pos="220"/>
        </w:tabs>
        <w:autoSpaceDE w:val="0"/>
        <w:autoSpaceDN w:val="0"/>
        <w:adjustRightInd w:val="0"/>
        <w:ind w:left="708"/>
        <w:rPr>
          <w:rFonts w:cs="Arial"/>
          <w:szCs w:val="20"/>
          <w:lang w:val="es-ES"/>
        </w:rPr>
      </w:pPr>
      <w:r w:rsidRPr="007D0E63">
        <w:rPr>
          <w:rFonts w:cs="Arial"/>
          <w:szCs w:val="20"/>
          <w:lang w:val="es-ES"/>
        </w:rPr>
        <w:lastRenderedPageBreak/>
        <w:t>Una vez terminada la elaboración de un estudio de preinversión, de acuerdo a los Contenidos Mínimos establecidos por la Dirección General de Programación Multianual del Sector Público, la Unidad Formuladora debe registrar el proyecto formulado en el Banco de Proyectos, como requisito previo a la evaluación de dicho estudio (Numeral 10.2, Art. 10 de la Ley No 27293). Esta fase culmina con la declaración de viabilidad otorgada por el órgano competente, siempre que el proyecto cumpla con los requisitos técnicos y legales (Numeral 10.3, Art. 10 de la Ley No 27293).</w:t>
      </w:r>
    </w:p>
    <w:p w14:paraId="184CBDB1" w14:textId="77777777" w:rsidR="00547565" w:rsidRPr="007D0E63" w:rsidRDefault="00547565" w:rsidP="00547565">
      <w:pPr>
        <w:widowControl w:val="0"/>
        <w:tabs>
          <w:tab w:val="left" w:pos="0"/>
          <w:tab w:val="left" w:pos="220"/>
        </w:tabs>
        <w:autoSpaceDE w:val="0"/>
        <w:autoSpaceDN w:val="0"/>
        <w:adjustRightInd w:val="0"/>
        <w:ind w:left="708"/>
        <w:rPr>
          <w:rFonts w:cs="Arial"/>
          <w:szCs w:val="20"/>
          <w:lang w:val="es-ES"/>
        </w:rPr>
      </w:pPr>
      <w:r w:rsidRPr="007D0E63">
        <w:rPr>
          <w:rFonts w:cs="Arial"/>
          <w:szCs w:val="20"/>
          <w:lang w:val="es-ES"/>
        </w:rPr>
        <w:t xml:space="preserve">En este sentido, la viabilidad de un proyecto es el requisito previo a la fase de inversión. Sólo puede ser declarada expresamente, por el órgano que posee tal facultad. En ese sentido, la declaración de viabilidad de un proyecto solamente podrá otorgarse, si éste cumple con los requisitos técnicos y legales establecidos por la normatividad del Sistema Nacional de Inversión Pública (Numeral 11.1, Art. 11 de la Ley No 27293). </w:t>
      </w:r>
    </w:p>
    <w:p w14:paraId="5315FD74" w14:textId="77777777" w:rsidR="00547565" w:rsidRPr="007D0E63" w:rsidRDefault="00547565" w:rsidP="00547565">
      <w:pPr>
        <w:widowControl w:val="0"/>
        <w:tabs>
          <w:tab w:val="left" w:pos="0"/>
          <w:tab w:val="left" w:pos="220"/>
        </w:tabs>
        <w:autoSpaceDE w:val="0"/>
        <w:autoSpaceDN w:val="0"/>
        <w:adjustRightInd w:val="0"/>
        <w:ind w:left="708"/>
        <w:rPr>
          <w:rFonts w:cs="Arial"/>
          <w:szCs w:val="20"/>
          <w:lang w:val="es-ES"/>
        </w:rPr>
      </w:pPr>
      <w:r w:rsidRPr="007D0E63">
        <w:rPr>
          <w:rFonts w:cs="Arial"/>
          <w:szCs w:val="20"/>
          <w:lang w:val="es-ES"/>
        </w:rPr>
        <w:t xml:space="preserve">Dicha declaración obliga a la Unidad Ejecutora a ceñirse a los parámetros bajo los cuales fue otorgada la viabilidad para disponer y/o elaborar los estudios definitivos y para la ejecución del Proyecto de Inversión Pública, bajo responsabilidad de la autoridad que apruebe dichos estudios y del responsable de la Unidad Ejecutora. Asimismo, la declaración de viabilidad obliga a la Entidad a cargo de la operación del proyecto, al mantenimiento de acuerdo a los estándares y parámetros aprobados en el estudio que sustenta la declaración de viabilidad del Proyecto y a realizar las demás acciones necesarias para la sostenibilidad del mismo (Numeral 11.2, Art. 11 de la Ley No 27293).  </w:t>
      </w:r>
    </w:p>
    <w:p w14:paraId="0DA926EE" w14:textId="77777777" w:rsidR="00547565" w:rsidRPr="007D0E63" w:rsidRDefault="00547565" w:rsidP="00547565">
      <w:pPr>
        <w:pStyle w:val="Prrafodelista"/>
        <w:widowControl w:val="0"/>
        <w:numPr>
          <w:ilvl w:val="0"/>
          <w:numId w:val="6"/>
        </w:numPr>
        <w:tabs>
          <w:tab w:val="left" w:pos="0"/>
          <w:tab w:val="left" w:pos="220"/>
        </w:tabs>
        <w:autoSpaceDE w:val="0"/>
        <w:autoSpaceDN w:val="0"/>
        <w:adjustRightInd w:val="0"/>
        <w:spacing w:after="240"/>
        <w:rPr>
          <w:rFonts w:cs="Arial"/>
          <w:szCs w:val="20"/>
          <w:lang w:val="es-ES"/>
        </w:rPr>
      </w:pPr>
      <w:r w:rsidRPr="007D0E63">
        <w:rPr>
          <w:rFonts w:cs="Arial"/>
          <w:szCs w:val="20"/>
          <w:lang w:val="es-ES"/>
        </w:rPr>
        <w:t>Fase de Inversión</w:t>
      </w:r>
    </w:p>
    <w:p w14:paraId="2D473F7F" w14:textId="77777777" w:rsidR="00547565" w:rsidRPr="007D0E63" w:rsidRDefault="00547565" w:rsidP="00547565">
      <w:pPr>
        <w:ind w:left="708"/>
        <w:rPr>
          <w:rFonts w:cs="Arial"/>
          <w:lang w:val="es-ES"/>
        </w:rPr>
      </w:pPr>
      <w:r w:rsidRPr="007D0E63">
        <w:rPr>
          <w:rFonts w:cs="Arial"/>
          <w:lang w:val="es-ES"/>
        </w:rPr>
        <w:t xml:space="preserve">El Sistema Nacional de Inversión Pública opera durante esta fase de Inversión a través del Sistema Operativo de Seguimiento y Monitoreo y comprende la elaboración del expediente técnico detallado y la ejecución del </w:t>
      </w:r>
      <w:r w:rsidRPr="007D0E63">
        <w:rPr>
          <w:rFonts w:cs="Arial"/>
          <w:szCs w:val="20"/>
          <w:lang w:val="es-ES"/>
        </w:rPr>
        <w:t xml:space="preserve">Proyecto de Inversión Pública (Numeral 12.1, Art. 12 de la Ley No 27293). </w:t>
      </w:r>
    </w:p>
    <w:p w14:paraId="215BA61C" w14:textId="77777777" w:rsidR="00547565" w:rsidRPr="007D0E63" w:rsidRDefault="00547565" w:rsidP="00547565">
      <w:pPr>
        <w:widowControl w:val="0"/>
        <w:tabs>
          <w:tab w:val="left" w:pos="0"/>
          <w:tab w:val="left" w:pos="220"/>
        </w:tabs>
        <w:autoSpaceDE w:val="0"/>
        <w:autoSpaceDN w:val="0"/>
        <w:adjustRightInd w:val="0"/>
        <w:ind w:left="708"/>
        <w:rPr>
          <w:rFonts w:cs="Arial"/>
          <w:szCs w:val="20"/>
          <w:lang w:val="es-ES"/>
        </w:rPr>
      </w:pPr>
      <w:r w:rsidRPr="007D0E63">
        <w:rPr>
          <w:rFonts w:cs="Arial"/>
          <w:szCs w:val="20"/>
          <w:lang w:val="es-ES"/>
        </w:rPr>
        <w:t>Durante esta fase, las Unidades Ejecutoras pondrán a disposición de la Dirección General de Programación Multianual del Sector Público y de las Oficinas de Programación e Inversiones toda la información referente al Proyecto de Inversión Pública en caso éstas la soliciten (Numeral 12.2, Art. 12 de la Ley No 27293).</w:t>
      </w:r>
    </w:p>
    <w:p w14:paraId="540031C6" w14:textId="77777777" w:rsidR="00547565" w:rsidRPr="007D0E63" w:rsidRDefault="00547565" w:rsidP="00547565">
      <w:pPr>
        <w:widowControl w:val="0"/>
        <w:autoSpaceDE w:val="0"/>
        <w:autoSpaceDN w:val="0"/>
        <w:adjustRightInd w:val="0"/>
        <w:ind w:left="708"/>
        <w:rPr>
          <w:rFonts w:cs="Arial"/>
          <w:szCs w:val="20"/>
          <w:lang w:val="es-ES"/>
        </w:rPr>
      </w:pPr>
      <w:r w:rsidRPr="007D0E63">
        <w:rPr>
          <w:rFonts w:cs="Arial"/>
          <w:szCs w:val="20"/>
          <w:lang w:val="es-ES"/>
        </w:rPr>
        <w:t xml:space="preserve">Un tema importante en esta fase es la del seguimiento y es que la Dirección General de Programación Multianual del Sector Público y las Oficinas de Programación e Inversiones se encuentran facultadas para realizar coordinadamente el seguimiento físico y financiero de los Proyectos de Inversión Pública (Numeral 13.1, Art. 13 de la Ley No 27293).  Las Unidades Ejecutoras deben informar a la Oficina de Programación e Inversiones que evaluó el proyecto y a la Dirección General de Programación </w:t>
      </w:r>
      <w:r w:rsidRPr="007D0E63">
        <w:rPr>
          <w:rFonts w:cs="Arial"/>
          <w:szCs w:val="20"/>
          <w:lang w:val="es-ES"/>
        </w:rPr>
        <w:lastRenderedPageBreak/>
        <w:t xml:space="preserve">Multianual del Sector Público, cuando corresponda, cualquier modificación que pudiera afectar la viabilidad del proyecto (Numeral 13.2, Art. 13 de la Ley No 27293).  </w:t>
      </w:r>
    </w:p>
    <w:p w14:paraId="26825C36" w14:textId="77777777" w:rsidR="00547565" w:rsidRPr="007D0E63" w:rsidRDefault="00547565" w:rsidP="00547565">
      <w:pPr>
        <w:pStyle w:val="Prrafodelista"/>
        <w:widowControl w:val="0"/>
        <w:numPr>
          <w:ilvl w:val="0"/>
          <w:numId w:val="6"/>
        </w:numPr>
        <w:tabs>
          <w:tab w:val="left" w:pos="0"/>
          <w:tab w:val="left" w:pos="220"/>
        </w:tabs>
        <w:autoSpaceDE w:val="0"/>
        <w:autoSpaceDN w:val="0"/>
        <w:adjustRightInd w:val="0"/>
        <w:spacing w:after="240"/>
        <w:rPr>
          <w:rFonts w:cs="Arial"/>
          <w:szCs w:val="20"/>
          <w:lang w:val="es-ES"/>
        </w:rPr>
      </w:pPr>
      <w:r w:rsidRPr="007D0E63">
        <w:rPr>
          <w:rFonts w:cs="Arial"/>
          <w:szCs w:val="20"/>
          <w:lang w:val="es-ES"/>
        </w:rPr>
        <w:t>Fase de Post-inversión</w:t>
      </w:r>
    </w:p>
    <w:p w14:paraId="721850F1" w14:textId="77777777" w:rsidR="00547565" w:rsidRPr="007D0E63" w:rsidRDefault="00547565" w:rsidP="00547565">
      <w:pPr>
        <w:widowControl w:val="0"/>
        <w:tabs>
          <w:tab w:val="left" w:pos="940"/>
          <w:tab w:val="left" w:pos="1440"/>
        </w:tabs>
        <w:autoSpaceDE w:val="0"/>
        <w:autoSpaceDN w:val="0"/>
        <w:adjustRightInd w:val="0"/>
        <w:spacing w:after="266"/>
        <w:ind w:left="708"/>
        <w:rPr>
          <w:rFonts w:cs="Arial"/>
          <w:color w:val="FF0000"/>
          <w:szCs w:val="20"/>
          <w:lang w:val="es-ES"/>
        </w:rPr>
      </w:pPr>
      <w:r w:rsidRPr="007D0E63">
        <w:rPr>
          <w:rFonts w:cs="Arial"/>
        </w:rPr>
        <w:t xml:space="preserve">Es la fase que comprende los procesos de control y evaluación ex post. Los </w:t>
      </w:r>
      <w:r w:rsidRPr="007D0E63">
        <w:rPr>
          <w:rFonts w:cs="Arial"/>
          <w:lang w:val="es-ES"/>
        </w:rPr>
        <w:t>responsables por las evaluaciones ex post de los Proyectos de Inversión Pública que ejecutan son las Unidades Ejecutoras, en coordinación con la Oficina de Programación e Inversiones que evaluó el proyecto. La</w:t>
      </w:r>
      <w:r w:rsidRPr="007D0E63">
        <w:rPr>
          <w:rFonts w:cs="Arial"/>
          <w:szCs w:val="20"/>
          <w:lang w:val="es-ES"/>
        </w:rPr>
        <w:t xml:space="preserve"> Dirección General de Programación Multianual del Sector Público está facultada para determinar en los casos en que se requerirán dichas evaluaciones, la metodología a seguir y el requisito de que sea efectuada o no por una agencia independiente, con el fin de verificar la generación de beneficios sociales durante la vida útil del Proyecto. Los resultados de las evaluaciones deben ser enviadas a la Dirección General de Programación Multianual del Sector Público (Art. 14 de la Ley No 27293).</w:t>
      </w:r>
    </w:p>
    <w:p w14:paraId="765404E4" w14:textId="77777777" w:rsidR="00547565" w:rsidRPr="007D0E63" w:rsidRDefault="00547565" w:rsidP="00547565">
      <w:pPr>
        <w:widowControl w:val="0"/>
        <w:autoSpaceDE w:val="0"/>
        <w:autoSpaceDN w:val="0"/>
        <w:adjustRightInd w:val="0"/>
        <w:rPr>
          <w:rFonts w:cs="Arial"/>
          <w:szCs w:val="20"/>
          <w:lang w:val="es-ES"/>
        </w:rPr>
      </w:pPr>
      <w:r w:rsidRPr="007D0E63">
        <w:rPr>
          <w:rFonts w:cs="Arial"/>
          <w:szCs w:val="20"/>
          <w:lang w:val="es-ES"/>
        </w:rPr>
        <w:t xml:space="preserve">En lo que respecta a la entidades encargadas en este proceso, el Ministerio de Economía y Finanzas a través de su Dirección General de Programación Multianual del Sector Público, emite las directivas que regulan las Fases y Etapas del Ciclo del Proyecto, las funciones y atribuciones de los órganos del Sistema Nacional de Inversión Pública, la Programación Multianual de la Inversión Pública y el funcionamiento del Banco de Proyectos (Numeral 9.1, Art. 9 de la Ley No 27293). Además, puede declarar la viabilidad de los Proyectos de Inversión Pública cuya fuente de financiamiento sea operaciones de endeudamiento u otra que conlleve el aval o garantía del Estado y puede delegar, total o parcialmente, esta atribución a los Sectores del Gobierno Nacional, Gobiernos Regionales o Gobiernos Locales, según corresponda (Numeral 9.1, Art. 9 de la Ley No 27293).  </w:t>
      </w:r>
    </w:p>
    <w:p w14:paraId="104C99A4" w14:textId="77777777" w:rsidR="00547565" w:rsidRPr="007D0E63" w:rsidRDefault="00547565" w:rsidP="00547565">
      <w:pPr>
        <w:widowControl w:val="0"/>
        <w:autoSpaceDE w:val="0"/>
        <w:autoSpaceDN w:val="0"/>
        <w:adjustRightInd w:val="0"/>
        <w:rPr>
          <w:rFonts w:cs="Arial"/>
          <w:szCs w:val="20"/>
          <w:lang w:val="es-ES"/>
        </w:rPr>
      </w:pPr>
      <w:r w:rsidRPr="007D0E63">
        <w:rPr>
          <w:rFonts w:cs="Arial"/>
          <w:szCs w:val="20"/>
          <w:lang w:val="es-ES"/>
        </w:rPr>
        <w:t>Por otro lado, el Ministro o la máxima autoridad ejecutiva en cada Sector, el Presidente Regional o el Alcalde, según corresponda, constituye el Órgano Resolutivo. En concordancia con la normatividad presupuestal vigente, le corresponde autorizar la Fase de Inversión y es el principal responsable por el cumplimiento de la presente Ley, su reglamento y las normas que a su amparo se expidan (Numeral 10.1, Art. 10 de la Ley No 27293).</w:t>
      </w:r>
    </w:p>
    <w:p w14:paraId="0DEE19F1" w14:textId="3C86C02A" w:rsidR="00547565" w:rsidRPr="005401D8" w:rsidRDefault="00547565" w:rsidP="005401D8">
      <w:pPr>
        <w:widowControl w:val="0"/>
        <w:autoSpaceDE w:val="0"/>
        <w:autoSpaceDN w:val="0"/>
        <w:adjustRightInd w:val="0"/>
        <w:rPr>
          <w:rFonts w:cs="Arial"/>
          <w:szCs w:val="20"/>
          <w:lang w:val="es-ES"/>
        </w:rPr>
        <w:sectPr w:rsidR="00547565" w:rsidRPr="005401D8" w:rsidSect="001D62F0">
          <w:pgSz w:w="11900" w:h="16840"/>
          <w:pgMar w:top="1417" w:right="1701" w:bottom="1417" w:left="1701" w:header="708" w:footer="708" w:gutter="0"/>
          <w:cols w:space="708"/>
          <w:docGrid w:linePitch="360"/>
        </w:sectPr>
      </w:pPr>
      <w:r w:rsidRPr="007D0E63">
        <w:rPr>
          <w:rFonts w:cs="Arial"/>
          <w:szCs w:val="20"/>
          <w:lang w:val="es-ES"/>
        </w:rPr>
        <w:t>Por su parte, el Ministerio de Economía y Finanzas a través de la Dirección General de Programación Multianual del Sector Público señala las atribuciones y responsabilidades de las Oficinas de Programación e Inversiones, o las que hagan sus veces, que sean necesarias para el mejor cumplimiento de lo dispuesto en la presente Ley (Numeral 10.7, Art. 10 de la Ley No 27293).</w:t>
      </w:r>
    </w:p>
    <w:p w14:paraId="0265F577" w14:textId="2179DD82" w:rsidR="00547565" w:rsidRPr="007D0E63" w:rsidRDefault="00547565" w:rsidP="005401D8">
      <w:pPr>
        <w:pStyle w:val="Ttulo2"/>
        <w:pageBreakBefore/>
        <w:rPr>
          <w:rFonts w:cs="Arial"/>
        </w:rPr>
      </w:pPr>
      <w:bookmarkStart w:id="11" w:name="_Toc299554796"/>
      <w:r w:rsidRPr="007D0E63">
        <w:rPr>
          <w:rFonts w:cs="Arial"/>
        </w:rPr>
        <w:lastRenderedPageBreak/>
        <w:t xml:space="preserve">Anexo </w:t>
      </w:r>
      <w:r w:rsidR="0098710A">
        <w:rPr>
          <w:rFonts w:cs="Arial"/>
        </w:rPr>
        <w:t>8</w:t>
      </w:r>
      <w:r w:rsidRPr="007D0E63">
        <w:rPr>
          <w:rFonts w:cs="Arial"/>
        </w:rPr>
        <w:t>: Detalle de los Proyectos del Sistema Nacional de Inversión Pública (SNIP)</w:t>
      </w:r>
      <w:bookmarkEnd w:id="11"/>
    </w:p>
    <w:tbl>
      <w:tblPr>
        <w:tblW w:w="5110" w:type="pct"/>
        <w:tblInd w:w="70" w:type="dxa"/>
        <w:tblCellMar>
          <w:left w:w="70" w:type="dxa"/>
          <w:right w:w="70" w:type="dxa"/>
        </w:tblCellMar>
        <w:tblLook w:val="04A0" w:firstRow="1" w:lastRow="0" w:firstColumn="1" w:lastColumn="0" w:noHBand="0" w:noVBand="1"/>
      </w:tblPr>
      <w:tblGrid>
        <w:gridCol w:w="701"/>
        <w:gridCol w:w="6390"/>
        <w:gridCol w:w="992"/>
        <w:gridCol w:w="1466"/>
        <w:gridCol w:w="2521"/>
        <w:gridCol w:w="2385"/>
      </w:tblGrid>
      <w:tr w:rsidR="005401D8" w:rsidRPr="005401D8" w14:paraId="2FA954D4" w14:textId="77777777" w:rsidTr="00133323">
        <w:trPr>
          <w:trHeight w:val="172"/>
        </w:trPr>
        <w:tc>
          <w:tcPr>
            <w:tcW w:w="242"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C869193" w14:textId="77777777" w:rsidR="00547565" w:rsidRPr="005401D8" w:rsidRDefault="00547565" w:rsidP="005401D8">
            <w:pPr>
              <w:spacing w:after="0" w:line="240" w:lineRule="auto"/>
              <w:jc w:val="center"/>
              <w:rPr>
                <w:rFonts w:eastAsia="Times New Roman" w:cs="Arial"/>
                <w:b/>
                <w:bCs/>
                <w:color w:val="FFFFFF" w:themeColor="background1"/>
                <w:sz w:val="16"/>
                <w:szCs w:val="16"/>
                <w:lang w:val="es-PE"/>
              </w:rPr>
            </w:pPr>
            <w:r w:rsidRPr="005401D8">
              <w:rPr>
                <w:rFonts w:eastAsia="Times New Roman" w:cs="Arial"/>
                <w:b/>
                <w:bCs/>
                <w:color w:val="FFFFFF" w:themeColor="background1"/>
                <w:sz w:val="16"/>
                <w:szCs w:val="16"/>
                <w:lang w:val="es-PE"/>
              </w:rPr>
              <w:t>Código</w:t>
            </w:r>
          </w:p>
          <w:p w14:paraId="718B88D9" w14:textId="77777777" w:rsidR="00547565" w:rsidRPr="005401D8" w:rsidRDefault="00547565" w:rsidP="005401D8">
            <w:pPr>
              <w:spacing w:after="0" w:line="240" w:lineRule="auto"/>
              <w:jc w:val="center"/>
              <w:rPr>
                <w:rFonts w:eastAsia="Times New Roman" w:cs="Arial"/>
                <w:b/>
                <w:bCs/>
                <w:color w:val="FFFFFF" w:themeColor="background1"/>
                <w:sz w:val="16"/>
                <w:szCs w:val="16"/>
                <w:lang w:val="es-PE"/>
              </w:rPr>
            </w:pPr>
            <w:r w:rsidRPr="005401D8">
              <w:rPr>
                <w:rFonts w:eastAsia="Times New Roman" w:cs="Arial"/>
                <w:b/>
                <w:bCs/>
                <w:color w:val="FFFFFF" w:themeColor="background1"/>
                <w:sz w:val="16"/>
                <w:szCs w:val="16"/>
                <w:lang w:val="es-PE"/>
              </w:rPr>
              <w:t>SNIP</w:t>
            </w:r>
          </w:p>
        </w:tc>
        <w:tc>
          <w:tcPr>
            <w:tcW w:w="2210" w:type="pct"/>
            <w:tcBorders>
              <w:top w:val="single" w:sz="4" w:space="0" w:color="auto"/>
              <w:left w:val="nil"/>
              <w:bottom w:val="single" w:sz="4" w:space="0" w:color="auto"/>
              <w:right w:val="single" w:sz="4" w:space="0" w:color="auto"/>
            </w:tcBorders>
            <w:shd w:val="clear" w:color="auto" w:fill="1F497D" w:themeFill="text2"/>
            <w:vAlign w:val="center"/>
            <w:hideMark/>
          </w:tcPr>
          <w:p w14:paraId="110DD283" w14:textId="77777777" w:rsidR="00547565" w:rsidRPr="005401D8" w:rsidRDefault="00547565" w:rsidP="005401D8">
            <w:pPr>
              <w:spacing w:after="0" w:line="240" w:lineRule="auto"/>
              <w:jc w:val="center"/>
              <w:rPr>
                <w:rFonts w:eastAsia="Times New Roman" w:cs="Arial"/>
                <w:b/>
                <w:bCs/>
                <w:color w:val="FFFFFF" w:themeColor="background1"/>
                <w:sz w:val="16"/>
                <w:szCs w:val="16"/>
                <w:lang w:val="es-PE"/>
              </w:rPr>
            </w:pPr>
            <w:r w:rsidRPr="005401D8">
              <w:rPr>
                <w:rFonts w:eastAsia="Times New Roman" w:cs="Arial"/>
                <w:b/>
                <w:bCs/>
                <w:color w:val="FFFFFF" w:themeColor="background1"/>
                <w:sz w:val="16"/>
                <w:szCs w:val="16"/>
                <w:lang w:val="es-PE"/>
              </w:rPr>
              <w:t>Nombre del Proyecto</w:t>
            </w:r>
          </w:p>
        </w:tc>
        <w:tc>
          <w:tcPr>
            <w:tcW w:w="343" w:type="pct"/>
            <w:tcBorders>
              <w:top w:val="single" w:sz="4" w:space="0" w:color="auto"/>
              <w:left w:val="nil"/>
              <w:bottom w:val="single" w:sz="4" w:space="0" w:color="auto"/>
              <w:right w:val="single" w:sz="4" w:space="0" w:color="auto"/>
            </w:tcBorders>
            <w:shd w:val="clear" w:color="auto" w:fill="1F497D" w:themeFill="text2"/>
            <w:vAlign w:val="center"/>
            <w:hideMark/>
          </w:tcPr>
          <w:p w14:paraId="5A51B1CC" w14:textId="088D55BC" w:rsidR="00547565" w:rsidRPr="005401D8" w:rsidRDefault="00547565" w:rsidP="00133323">
            <w:pPr>
              <w:spacing w:after="0" w:line="240" w:lineRule="auto"/>
              <w:jc w:val="center"/>
              <w:rPr>
                <w:rFonts w:eastAsia="Times New Roman" w:cs="Arial"/>
                <w:b/>
                <w:bCs/>
                <w:color w:val="FFFFFF" w:themeColor="background1"/>
                <w:sz w:val="16"/>
                <w:szCs w:val="16"/>
                <w:lang w:val="es-PE"/>
              </w:rPr>
            </w:pPr>
            <w:r w:rsidRPr="005401D8">
              <w:rPr>
                <w:rFonts w:eastAsia="Times New Roman" w:cs="Arial"/>
                <w:b/>
                <w:bCs/>
                <w:color w:val="FFFFFF" w:themeColor="background1"/>
                <w:sz w:val="16"/>
                <w:szCs w:val="16"/>
                <w:lang w:val="es-PE"/>
              </w:rPr>
              <w:t xml:space="preserve">Monto </w:t>
            </w:r>
          </w:p>
        </w:tc>
        <w:tc>
          <w:tcPr>
            <w:tcW w:w="507" w:type="pct"/>
            <w:tcBorders>
              <w:top w:val="single" w:sz="4" w:space="0" w:color="auto"/>
              <w:left w:val="nil"/>
              <w:bottom w:val="single" w:sz="4" w:space="0" w:color="auto"/>
              <w:right w:val="single" w:sz="4" w:space="0" w:color="auto"/>
            </w:tcBorders>
            <w:shd w:val="clear" w:color="auto" w:fill="1F497D" w:themeFill="text2"/>
            <w:vAlign w:val="center"/>
            <w:hideMark/>
          </w:tcPr>
          <w:p w14:paraId="0B1EC085" w14:textId="77777777" w:rsidR="00547565" w:rsidRPr="005401D8" w:rsidRDefault="00547565" w:rsidP="005401D8">
            <w:pPr>
              <w:spacing w:after="0" w:line="240" w:lineRule="auto"/>
              <w:jc w:val="center"/>
              <w:rPr>
                <w:rFonts w:eastAsia="Times New Roman" w:cs="Arial"/>
                <w:b/>
                <w:bCs/>
                <w:color w:val="FFFFFF" w:themeColor="background1"/>
                <w:sz w:val="16"/>
                <w:szCs w:val="16"/>
                <w:lang w:val="es-PE"/>
              </w:rPr>
            </w:pPr>
            <w:r w:rsidRPr="005401D8">
              <w:rPr>
                <w:rFonts w:eastAsia="Times New Roman" w:cs="Arial"/>
                <w:b/>
                <w:bCs/>
                <w:color w:val="FFFFFF" w:themeColor="background1"/>
                <w:sz w:val="16"/>
                <w:szCs w:val="16"/>
                <w:lang w:val="es-PE"/>
              </w:rPr>
              <w:t>Situación</w:t>
            </w:r>
          </w:p>
        </w:tc>
        <w:tc>
          <w:tcPr>
            <w:tcW w:w="872" w:type="pct"/>
            <w:tcBorders>
              <w:top w:val="single" w:sz="4" w:space="0" w:color="auto"/>
              <w:left w:val="nil"/>
              <w:bottom w:val="single" w:sz="4" w:space="0" w:color="auto"/>
              <w:right w:val="single" w:sz="4" w:space="0" w:color="auto"/>
            </w:tcBorders>
            <w:shd w:val="clear" w:color="auto" w:fill="1F497D" w:themeFill="text2"/>
            <w:vAlign w:val="center"/>
            <w:hideMark/>
          </w:tcPr>
          <w:p w14:paraId="35CC66E3" w14:textId="77777777" w:rsidR="00547565" w:rsidRPr="005401D8" w:rsidRDefault="00547565" w:rsidP="005401D8">
            <w:pPr>
              <w:spacing w:after="0" w:line="240" w:lineRule="auto"/>
              <w:rPr>
                <w:rFonts w:eastAsia="Times New Roman" w:cs="Arial"/>
                <w:b/>
                <w:bCs/>
                <w:color w:val="FFFFFF" w:themeColor="background1"/>
                <w:sz w:val="16"/>
                <w:szCs w:val="16"/>
                <w:lang w:val="es-PE"/>
              </w:rPr>
            </w:pPr>
            <w:r w:rsidRPr="005401D8">
              <w:rPr>
                <w:rFonts w:eastAsia="Times New Roman" w:cs="Arial"/>
                <w:b/>
                <w:bCs/>
                <w:color w:val="FFFFFF" w:themeColor="background1"/>
                <w:sz w:val="16"/>
                <w:szCs w:val="16"/>
                <w:lang w:val="es-PE"/>
              </w:rPr>
              <w:t>Pliego</w:t>
            </w:r>
          </w:p>
        </w:tc>
        <w:tc>
          <w:tcPr>
            <w:tcW w:w="825" w:type="pct"/>
            <w:tcBorders>
              <w:top w:val="single" w:sz="4" w:space="0" w:color="auto"/>
              <w:left w:val="nil"/>
              <w:bottom w:val="single" w:sz="4" w:space="0" w:color="auto"/>
              <w:right w:val="single" w:sz="4" w:space="0" w:color="auto"/>
            </w:tcBorders>
            <w:shd w:val="clear" w:color="auto" w:fill="1F497D" w:themeFill="text2"/>
            <w:vAlign w:val="center"/>
            <w:hideMark/>
          </w:tcPr>
          <w:p w14:paraId="7D93F19F" w14:textId="77777777" w:rsidR="00547565" w:rsidRPr="005401D8" w:rsidRDefault="00547565" w:rsidP="005401D8">
            <w:pPr>
              <w:spacing w:after="0" w:line="240" w:lineRule="auto"/>
              <w:rPr>
                <w:rFonts w:eastAsia="Times New Roman" w:cs="Arial"/>
                <w:b/>
                <w:bCs/>
                <w:color w:val="FFFFFF" w:themeColor="background1"/>
                <w:sz w:val="16"/>
                <w:szCs w:val="16"/>
                <w:lang w:val="es-PE"/>
              </w:rPr>
            </w:pPr>
            <w:r w:rsidRPr="005401D8">
              <w:rPr>
                <w:rFonts w:eastAsia="Times New Roman" w:cs="Arial"/>
                <w:b/>
                <w:bCs/>
                <w:color w:val="FFFFFF" w:themeColor="background1"/>
                <w:sz w:val="16"/>
                <w:szCs w:val="16"/>
                <w:lang w:val="es-PE"/>
              </w:rPr>
              <w:t>Ejecutora</w:t>
            </w:r>
          </w:p>
        </w:tc>
      </w:tr>
      <w:tr w:rsidR="005401D8" w:rsidRPr="005401D8" w14:paraId="69F7810F"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0E280A6E"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180222</w:t>
            </w:r>
          </w:p>
        </w:tc>
        <w:tc>
          <w:tcPr>
            <w:tcW w:w="2210" w:type="pct"/>
            <w:tcBorders>
              <w:top w:val="nil"/>
              <w:left w:val="nil"/>
              <w:bottom w:val="single" w:sz="4" w:space="0" w:color="auto"/>
              <w:right w:val="single" w:sz="4" w:space="0" w:color="auto"/>
            </w:tcBorders>
            <w:shd w:val="clear" w:color="auto" w:fill="auto"/>
            <w:vAlign w:val="center"/>
            <w:hideMark/>
          </w:tcPr>
          <w:p w14:paraId="3124E764"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Mejoramiento de los servicios turísticos del circuito norte de la Reserva Nacional de Paracas, distrito de Paracas, provincia de Pisco, región Ica</w:t>
            </w:r>
          </w:p>
        </w:tc>
        <w:tc>
          <w:tcPr>
            <w:tcW w:w="343" w:type="pct"/>
            <w:tcBorders>
              <w:top w:val="nil"/>
              <w:left w:val="nil"/>
              <w:bottom w:val="single" w:sz="4" w:space="0" w:color="auto"/>
              <w:right w:val="single" w:sz="4" w:space="0" w:color="auto"/>
            </w:tcBorders>
            <w:shd w:val="clear" w:color="auto" w:fill="auto"/>
            <w:vAlign w:val="center"/>
            <w:hideMark/>
          </w:tcPr>
          <w:p w14:paraId="6FCDC177"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17,915,776</w:t>
            </w:r>
          </w:p>
        </w:tc>
        <w:tc>
          <w:tcPr>
            <w:tcW w:w="507" w:type="pct"/>
            <w:tcBorders>
              <w:top w:val="nil"/>
              <w:left w:val="nil"/>
              <w:bottom w:val="single" w:sz="4" w:space="0" w:color="auto"/>
              <w:right w:val="single" w:sz="4" w:space="0" w:color="auto"/>
            </w:tcBorders>
            <w:shd w:val="clear" w:color="auto" w:fill="auto"/>
            <w:vAlign w:val="center"/>
            <w:hideMark/>
          </w:tcPr>
          <w:p w14:paraId="4383DFC7"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352C9E59"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Ministerio de Comercio Exterior y Turismo - MINCETUR</w:t>
            </w:r>
          </w:p>
        </w:tc>
        <w:tc>
          <w:tcPr>
            <w:tcW w:w="825" w:type="pct"/>
            <w:tcBorders>
              <w:top w:val="nil"/>
              <w:left w:val="nil"/>
              <w:bottom w:val="single" w:sz="4" w:space="0" w:color="auto"/>
              <w:right w:val="single" w:sz="4" w:space="0" w:color="auto"/>
            </w:tcBorders>
            <w:shd w:val="clear" w:color="auto" w:fill="auto"/>
            <w:vAlign w:val="center"/>
            <w:hideMark/>
          </w:tcPr>
          <w:p w14:paraId="0BC399FF"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MINCETUR - Plan Copesco Nacional</w:t>
            </w:r>
          </w:p>
        </w:tc>
      </w:tr>
      <w:tr w:rsidR="005401D8" w:rsidRPr="005401D8" w14:paraId="3E8F1DC9"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571F09D8"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186460</w:t>
            </w:r>
          </w:p>
        </w:tc>
        <w:tc>
          <w:tcPr>
            <w:tcW w:w="2210" w:type="pct"/>
            <w:tcBorders>
              <w:top w:val="nil"/>
              <w:left w:val="nil"/>
              <w:bottom w:val="single" w:sz="4" w:space="0" w:color="auto"/>
              <w:right w:val="single" w:sz="4" w:space="0" w:color="auto"/>
            </w:tcBorders>
            <w:shd w:val="clear" w:color="auto" w:fill="auto"/>
            <w:vAlign w:val="center"/>
            <w:hideMark/>
          </w:tcPr>
          <w:p w14:paraId="5CC984CD"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Recuperación de las tierras degradadas por la minería informal en la zona de amortiguamiento de la Reserva Nacional de Tambopata, sector Malinowski y Jayave</w:t>
            </w:r>
          </w:p>
        </w:tc>
        <w:tc>
          <w:tcPr>
            <w:tcW w:w="343" w:type="pct"/>
            <w:tcBorders>
              <w:top w:val="nil"/>
              <w:left w:val="nil"/>
              <w:bottom w:val="single" w:sz="4" w:space="0" w:color="auto"/>
              <w:right w:val="single" w:sz="4" w:space="0" w:color="auto"/>
            </w:tcBorders>
            <w:shd w:val="clear" w:color="auto" w:fill="auto"/>
            <w:vAlign w:val="center"/>
            <w:hideMark/>
          </w:tcPr>
          <w:p w14:paraId="39F88470"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15,620,112</w:t>
            </w:r>
          </w:p>
        </w:tc>
        <w:tc>
          <w:tcPr>
            <w:tcW w:w="507" w:type="pct"/>
            <w:tcBorders>
              <w:top w:val="nil"/>
              <w:left w:val="nil"/>
              <w:bottom w:val="single" w:sz="4" w:space="0" w:color="auto"/>
              <w:right w:val="single" w:sz="4" w:space="0" w:color="auto"/>
            </w:tcBorders>
            <w:shd w:val="clear" w:color="auto" w:fill="auto"/>
            <w:vAlign w:val="center"/>
            <w:hideMark/>
          </w:tcPr>
          <w:p w14:paraId="0DFD9FF9"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En Formulacion</w:t>
            </w:r>
          </w:p>
        </w:tc>
        <w:tc>
          <w:tcPr>
            <w:tcW w:w="872" w:type="pct"/>
            <w:tcBorders>
              <w:top w:val="nil"/>
              <w:left w:val="nil"/>
              <w:bottom w:val="single" w:sz="4" w:space="0" w:color="auto"/>
              <w:right w:val="single" w:sz="4" w:space="0" w:color="auto"/>
            </w:tcBorders>
            <w:shd w:val="clear" w:color="auto" w:fill="auto"/>
            <w:vAlign w:val="center"/>
            <w:hideMark/>
          </w:tcPr>
          <w:p w14:paraId="55EEBA6B"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Ministerio del Ambiente</w:t>
            </w:r>
          </w:p>
        </w:tc>
        <w:tc>
          <w:tcPr>
            <w:tcW w:w="825" w:type="pct"/>
            <w:tcBorders>
              <w:top w:val="nil"/>
              <w:left w:val="nil"/>
              <w:bottom w:val="single" w:sz="4" w:space="0" w:color="auto"/>
              <w:right w:val="single" w:sz="4" w:space="0" w:color="auto"/>
            </w:tcBorders>
            <w:shd w:val="clear" w:color="auto" w:fill="auto"/>
            <w:vAlign w:val="center"/>
            <w:hideMark/>
          </w:tcPr>
          <w:p w14:paraId="42728618"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Ministerio del Ambiente - Administración General</w:t>
            </w:r>
          </w:p>
        </w:tc>
      </w:tr>
      <w:tr w:rsidR="005401D8" w:rsidRPr="005401D8" w14:paraId="5882CFC3"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13768469"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160105</w:t>
            </w:r>
          </w:p>
        </w:tc>
        <w:tc>
          <w:tcPr>
            <w:tcW w:w="2210" w:type="pct"/>
            <w:tcBorders>
              <w:top w:val="nil"/>
              <w:left w:val="nil"/>
              <w:bottom w:val="single" w:sz="4" w:space="0" w:color="auto"/>
              <w:right w:val="single" w:sz="4" w:space="0" w:color="auto"/>
            </w:tcBorders>
            <w:shd w:val="clear" w:color="auto" w:fill="auto"/>
            <w:vAlign w:val="center"/>
            <w:hideMark/>
          </w:tcPr>
          <w:p w14:paraId="44C26232"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Instalación de servicios turísticos públicos en las comunidades asentadas en el corredor turístico rumbo al dorado en la Reserva Nacional Pacaya Samiria - provincias de Loreto y Requena - región Loreto</w:t>
            </w:r>
          </w:p>
        </w:tc>
        <w:tc>
          <w:tcPr>
            <w:tcW w:w="343" w:type="pct"/>
            <w:tcBorders>
              <w:top w:val="nil"/>
              <w:left w:val="nil"/>
              <w:bottom w:val="single" w:sz="4" w:space="0" w:color="auto"/>
              <w:right w:val="single" w:sz="4" w:space="0" w:color="auto"/>
            </w:tcBorders>
            <w:shd w:val="clear" w:color="auto" w:fill="auto"/>
            <w:vAlign w:val="center"/>
            <w:hideMark/>
          </w:tcPr>
          <w:p w14:paraId="703DFEE3"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10,692,777</w:t>
            </w:r>
          </w:p>
        </w:tc>
        <w:tc>
          <w:tcPr>
            <w:tcW w:w="507" w:type="pct"/>
            <w:tcBorders>
              <w:top w:val="nil"/>
              <w:left w:val="nil"/>
              <w:bottom w:val="single" w:sz="4" w:space="0" w:color="auto"/>
              <w:right w:val="single" w:sz="4" w:space="0" w:color="auto"/>
            </w:tcBorders>
            <w:shd w:val="clear" w:color="auto" w:fill="auto"/>
            <w:vAlign w:val="center"/>
            <w:hideMark/>
          </w:tcPr>
          <w:p w14:paraId="15684BCB"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En Formulacion</w:t>
            </w:r>
          </w:p>
        </w:tc>
        <w:tc>
          <w:tcPr>
            <w:tcW w:w="872" w:type="pct"/>
            <w:tcBorders>
              <w:top w:val="nil"/>
              <w:left w:val="nil"/>
              <w:bottom w:val="single" w:sz="4" w:space="0" w:color="auto"/>
              <w:right w:val="single" w:sz="4" w:space="0" w:color="auto"/>
            </w:tcBorders>
            <w:shd w:val="clear" w:color="auto" w:fill="auto"/>
            <w:vAlign w:val="center"/>
            <w:hideMark/>
          </w:tcPr>
          <w:p w14:paraId="5D307200" w14:textId="311EC5CB"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MINCETUR</w:t>
            </w:r>
          </w:p>
        </w:tc>
        <w:tc>
          <w:tcPr>
            <w:tcW w:w="825" w:type="pct"/>
            <w:tcBorders>
              <w:top w:val="nil"/>
              <w:left w:val="nil"/>
              <w:bottom w:val="single" w:sz="4" w:space="0" w:color="auto"/>
              <w:right w:val="single" w:sz="4" w:space="0" w:color="auto"/>
            </w:tcBorders>
            <w:shd w:val="clear" w:color="auto" w:fill="auto"/>
            <w:vAlign w:val="center"/>
            <w:hideMark/>
          </w:tcPr>
          <w:p w14:paraId="2692603D"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MINCETUR - Plan Copesco Nacional</w:t>
            </w:r>
          </w:p>
        </w:tc>
      </w:tr>
      <w:tr w:rsidR="005401D8" w:rsidRPr="005401D8" w14:paraId="498C0C04"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2D69503F"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280650</w:t>
            </w:r>
          </w:p>
        </w:tc>
        <w:tc>
          <w:tcPr>
            <w:tcW w:w="2210" w:type="pct"/>
            <w:tcBorders>
              <w:top w:val="nil"/>
              <w:left w:val="nil"/>
              <w:bottom w:val="single" w:sz="4" w:space="0" w:color="auto"/>
              <w:right w:val="single" w:sz="4" w:space="0" w:color="auto"/>
            </w:tcBorders>
            <w:shd w:val="clear" w:color="auto" w:fill="auto"/>
            <w:vAlign w:val="center"/>
            <w:hideMark/>
          </w:tcPr>
          <w:p w14:paraId="3C3843A6"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Mejoramiento del servicio de belleza escénica y paisajística de las Áreas Naturales Protegidas del Parque Nacional Tingo María, Parque Nacional Yanachaga Chemillen, Reserva Nacional de Junín, Santuario Histórico Chacamarca y Santuario Nacional de Huayllay, departamentos de Huánuco, Pasco y Junín</w:t>
            </w:r>
          </w:p>
        </w:tc>
        <w:tc>
          <w:tcPr>
            <w:tcW w:w="343" w:type="pct"/>
            <w:tcBorders>
              <w:top w:val="nil"/>
              <w:left w:val="nil"/>
              <w:bottom w:val="single" w:sz="4" w:space="0" w:color="auto"/>
              <w:right w:val="single" w:sz="4" w:space="0" w:color="auto"/>
            </w:tcBorders>
            <w:shd w:val="clear" w:color="auto" w:fill="auto"/>
            <w:vAlign w:val="center"/>
            <w:hideMark/>
          </w:tcPr>
          <w:p w14:paraId="55880B13"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8,388,033</w:t>
            </w:r>
          </w:p>
        </w:tc>
        <w:tc>
          <w:tcPr>
            <w:tcW w:w="507" w:type="pct"/>
            <w:tcBorders>
              <w:top w:val="nil"/>
              <w:left w:val="nil"/>
              <w:bottom w:val="single" w:sz="4" w:space="0" w:color="auto"/>
              <w:right w:val="single" w:sz="4" w:space="0" w:color="auto"/>
            </w:tcBorders>
            <w:shd w:val="clear" w:color="auto" w:fill="auto"/>
            <w:vAlign w:val="center"/>
            <w:hideMark/>
          </w:tcPr>
          <w:p w14:paraId="5F1DB496"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11A5D2C9"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Servicio Nacional de Áreas Naturales Protegidas por el Estado - SERNANP</w:t>
            </w:r>
          </w:p>
        </w:tc>
        <w:tc>
          <w:tcPr>
            <w:tcW w:w="825" w:type="pct"/>
            <w:tcBorders>
              <w:top w:val="nil"/>
              <w:left w:val="nil"/>
              <w:bottom w:val="single" w:sz="4" w:space="0" w:color="auto"/>
              <w:right w:val="single" w:sz="4" w:space="0" w:color="auto"/>
            </w:tcBorders>
            <w:shd w:val="clear" w:color="auto" w:fill="auto"/>
            <w:vAlign w:val="center"/>
            <w:hideMark/>
          </w:tcPr>
          <w:p w14:paraId="219418E7" w14:textId="1D0D5980"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r>
      <w:tr w:rsidR="005401D8" w:rsidRPr="005401D8" w14:paraId="3BF7C200"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1CB5D4D7"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139886</w:t>
            </w:r>
          </w:p>
        </w:tc>
        <w:tc>
          <w:tcPr>
            <w:tcW w:w="2210" w:type="pct"/>
            <w:tcBorders>
              <w:top w:val="nil"/>
              <w:left w:val="nil"/>
              <w:bottom w:val="single" w:sz="4" w:space="0" w:color="auto"/>
              <w:right w:val="single" w:sz="4" w:space="0" w:color="auto"/>
            </w:tcBorders>
            <w:shd w:val="clear" w:color="auto" w:fill="auto"/>
            <w:vAlign w:val="center"/>
            <w:hideMark/>
          </w:tcPr>
          <w:p w14:paraId="06B2F85A"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Construcción de infraestructura básica en las comunidades de la zona de amortiguamiento de la Reserva Nacional de Tambopata, distrito y provincia de Tambopata, región Madre de Dios</w:t>
            </w:r>
          </w:p>
        </w:tc>
        <w:tc>
          <w:tcPr>
            <w:tcW w:w="343" w:type="pct"/>
            <w:tcBorders>
              <w:top w:val="nil"/>
              <w:left w:val="nil"/>
              <w:bottom w:val="single" w:sz="4" w:space="0" w:color="auto"/>
              <w:right w:val="single" w:sz="4" w:space="0" w:color="auto"/>
            </w:tcBorders>
            <w:shd w:val="clear" w:color="auto" w:fill="auto"/>
            <w:vAlign w:val="center"/>
            <w:hideMark/>
          </w:tcPr>
          <w:p w14:paraId="1AEE49AC"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3,771,600</w:t>
            </w:r>
          </w:p>
        </w:tc>
        <w:tc>
          <w:tcPr>
            <w:tcW w:w="507" w:type="pct"/>
            <w:tcBorders>
              <w:top w:val="nil"/>
              <w:left w:val="nil"/>
              <w:bottom w:val="single" w:sz="4" w:space="0" w:color="auto"/>
              <w:right w:val="single" w:sz="4" w:space="0" w:color="auto"/>
            </w:tcBorders>
            <w:shd w:val="clear" w:color="auto" w:fill="auto"/>
            <w:vAlign w:val="center"/>
            <w:hideMark/>
          </w:tcPr>
          <w:p w14:paraId="428D0F12" w14:textId="77777777" w:rsidR="00547565" w:rsidRPr="005401D8" w:rsidRDefault="00547565" w:rsidP="005401D8">
            <w:pPr>
              <w:spacing w:after="0" w:line="240" w:lineRule="auto"/>
              <w:ind w:left="-148" w:firstLine="148"/>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3887F93C"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Gobierno Regional Madre de Dios</w:t>
            </w:r>
          </w:p>
        </w:tc>
        <w:tc>
          <w:tcPr>
            <w:tcW w:w="825" w:type="pct"/>
            <w:tcBorders>
              <w:top w:val="nil"/>
              <w:left w:val="nil"/>
              <w:bottom w:val="single" w:sz="4" w:space="0" w:color="auto"/>
              <w:right w:val="single" w:sz="4" w:space="0" w:color="auto"/>
            </w:tcBorders>
            <w:shd w:val="clear" w:color="auto" w:fill="auto"/>
            <w:vAlign w:val="center"/>
            <w:hideMark/>
          </w:tcPr>
          <w:p w14:paraId="53714884"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Región Madre De Dios-Sede Central</w:t>
            </w:r>
          </w:p>
        </w:tc>
      </w:tr>
      <w:tr w:rsidR="005401D8" w:rsidRPr="005401D8" w14:paraId="26AB200F"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ADA4FDF"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241577</w:t>
            </w:r>
          </w:p>
        </w:tc>
        <w:tc>
          <w:tcPr>
            <w:tcW w:w="2210" w:type="pct"/>
            <w:tcBorders>
              <w:top w:val="nil"/>
              <w:left w:val="nil"/>
              <w:bottom w:val="single" w:sz="4" w:space="0" w:color="auto"/>
              <w:right w:val="single" w:sz="4" w:space="0" w:color="auto"/>
            </w:tcBorders>
            <w:shd w:val="clear" w:color="auto" w:fill="DBE5F1" w:themeFill="accent1" w:themeFillTint="33"/>
            <w:vAlign w:val="center"/>
            <w:hideMark/>
          </w:tcPr>
          <w:p w14:paraId="1436D7A2"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Mejoramiento del servicio de restauración de lomas costeras en la Reserva Nacional de Lachay, distrito de Huacho, provincia de Huaura - Lima</w:t>
            </w:r>
          </w:p>
        </w:tc>
        <w:tc>
          <w:tcPr>
            <w:tcW w:w="343" w:type="pct"/>
            <w:tcBorders>
              <w:top w:val="nil"/>
              <w:left w:val="nil"/>
              <w:bottom w:val="single" w:sz="4" w:space="0" w:color="auto"/>
              <w:right w:val="single" w:sz="4" w:space="0" w:color="auto"/>
            </w:tcBorders>
            <w:shd w:val="clear" w:color="auto" w:fill="DBE5F1" w:themeFill="accent1" w:themeFillTint="33"/>
            <w:vAlign w:val="center"/>
            <w:hideMark/>
          </w:tcPr>
          <w:p w14:paraId="16FB2F7B"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2,123,232</w:t>
            </w:r>
          </w:p>
        </w:tc>
        <w:tc>
          <w:tcPr>
            <w:tcW w:w="507" w:type="pct"/>
            <w:tcBorders>
              <w:top w:val="nil"/>
              <w:left w:val="nil"/>
              <w:bottom w:val="single" w:sz="4" w:space="0" w:color="auto"/>
              <w:right w:val="single" w:sz="4" w:space="0" w:color="auto"/>
            </w:tcBorders>
            <w:shd w:val="clear" w:color="auto" w:fill="DBE5F1" w:themeFill="accent1" w:themeFillTint="33"/>
            <w:vAlign w:val="center"/>
            <w:hideMark/>
          </w:tcPr>
          <w:p w14:paraId="3D593C0E"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14:paraId="2361ABAC" w14:textId="0496D4F1"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c>
          <w:tcPr>
            <w:tcW w:w="825" w:type="pct"/>
            <w:tcBorders>
              <w:top w:val="nil"/>
              <w:left w:val="nil"/>
              <w:bottom w:val="single" w:sz="4" w:space="0" w:color="auto"/>
              <w:right w:val="single" w:sz="4" w:space="0" w:color="auto"/>
            </w:tcBorders>
            <w:shd w:val="clear" w:color="auto" w:fill="DBE5F1" w:themeFill="accent1" w:themeFillTint="33"/>
            <w:vAlign w:val="center"/>
            <w:hideMark/>
          </w:tcPr>
          <w:p w14:paraId="75039D01" w14:textId="242F356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r>
      <w:tr w:rsidR="005401D8" w:rsidRPr="005401D8" w14:paraId="297C005F"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DF99A1F"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133155</w:t>
            </w:r>
          </w:p>
        </w:tc>
        <w:tc>
          <w:tcPr>
            <w:tcW w:w="2210" w:type="pct"/>
            <w:tcBorders>
              <w:top w:val="nil"/>
              <w:left w:val="nil"/>
              <w:bottom w:val="single" w:sz="4" w:space="0" w:color="auto"/>
              <w:right w:val="single" w:sz="4" w:space="0" w:color="auto"/>
            </w:tcBorders>
            <w:shd w:val="clear" w:color="auto" w:fill="DBE5F1" w:themeFill="accent1" w:themeFillTint="33"/>
            <w:vAlign w:val="center"/>
            <w:hideMark/>
          </w:tcPr>
          <w:p w14:paraId="3B9A535B"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Remodelación, ampliación, museografía y equipamiento del centro de interpretación de la Reserva Nacional de Paracas</w:t>
            </w:r>
          </w:p>
        </w:tc>
        <w:tc>
          <w:tcPr>
            <w:tcW w:w="343" w:type="pct"/>
            <w:tcBorders>
              <w:top w:val="nil"/>
              <w:left w:val="nil"/>
              <w:bottom w:val="single" w:sz="4" w:space="0" w:color="auto"/>
              <w:right w:val="single" w:sz="4" w:space="0" w:color="auto"/>
            </w:tcBorders>
            <w:shd w:val="clear" w:color="auto" w:fill="DBE5F1" w:themeFill="accent1" w:themeFillTint="33"/>
            <w:vAlign w:val="center"/>
            <w:hideMark/>
          </w:tcPr>
          <w:p w14:paraId="2A7C9776"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1,954,648</w:t>
            </w:r>
          </w:p>
        </w:tc>
        <w:tc>
          <w:tcPr>
            <w:tcW w:w="507" w:type="pct"/>
            <w:tcBorders>
              <w:top w:val="nil"/>
              <w:left w:val="nil"/>
              <w:bottom w:val="single" w:sz="4" w:space="0" w:color="auto"/>
              <w:right w:val="single" w:sz="4" w:space="0" w:color="auto"/>
            </w:tcBorders>
            <w:shd w:val="clear" w:color="auto" w:fill="DBE5F1" w:themeFill="accent1" w:themeFillTint="33"/>
            <w:vAlign w:val="center"/>
            <w:hideMark/>
          </w:tcPr>
          <w:p w14:paraId="08CB55B3"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14:paraId="7BA3609B" w14:textId="2973CD03"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c>
          <w:tcPr>
            <w:tcW w:w="825" w:type="pct"/>
            <w:tcBorders>
              <w:top w:val="nil"/>
              <w:left w:val="nil"/>
              <w:bottom w:val="single" w:sz="4" w:space="0" w:color="auto"/>
              <w:right w:val="single" w:sz="4" w:space="0" w:color="auto"/>
            </w:tcBorders>
            <w:shd w:val="clear" w:color="auto" w:fill="DBE5F1" w:themeFill="accent1" w:themeFillTint="33"/>
            <w:vAlign w:val="center"/>
            <w:hideMark/>
          </w:tcPr>
          <w:p w14:paraId="45BE1D6F" w14:textId="42208935"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r>
      <w:tr w:rsidR="005401D8" w:rsidRPr="005401D8" w14:paraId="000FBED1"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526F636"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196652</w:t>
            </w:r>
          </w:p>
        </w:tc>
        <w:tc>
          <w:tcPr>
            <w:tcW w:w="2210" w:type="pct"/>
            <w:tcBorders>
              <w:top w:val="nil"/>
              <w:left w:val="nil"/>
              <w:bottom w:val="single" w:sz="4" w:space="0" w:color="auto"/>
              <w:right w:val="single" w:sz="4" w:space="0" w:color="auto"/>
            </w:tcBorders>
            <w:shd w:val="clear" w:color="auto" w:fill="DBE5F1" w:themeFill="accent1" w:themeFillTint="33"/>
            <w:vAlign w:val="center"/>
            <w:hideMark/>
          </w:tcPr>
          <w:p w14:paraId="12C023DA"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Mejoramiento y ampliación del servicio de control y vigilancia de la reserva nacional de paracas distrito de paracas, provincia de pisco - región Ica</w:t>
            </w:r>
          </w:p>
        </w:tc>
        <w:tc>
          <w:tcPr>
            <w:tcW w:w="343" w:type="pct"/>
            <w:tcBorders>
              <w:top w:val="nil"/>
              <w:left w:val="nil"/>
              <w:bottom w:val="single" w:sz="4" w:space="0" w:color="auto"/>
              <w:right w:val="single" w:sz="4" w:space="0" w:color="auto"/>
            </w:tcBorders>
            <w:shd w:val="clear" w:color="auto" w:fill="DBE5F1" w:themeFill="accent1" w:themeFillTint="33"/>
            <w:vAlign w:val="center"/>
            <w:hideMark/>
          </w:tcPr>
          <w:p w14:paraId="702C1871"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1,925,071</w:t>
            </w:r>
          </w:p>
        </w:tc>
        <w:tc>
          <w:tcPr>
            <w:tcW w:w="507" w:type="pct"/>
            <w:tcBorders>
              <w:top w:val="nil"/>
              <w:left w:val="nil"/>
              <w:bottom w:val="single" w:sz="4" w:space="0" w:color="auto"/>
              <w:right w:val="single" w:sz="4" w:space="0" w:color="auto"/>
            </w:tcBorders>
            <w:shd w:val="clear" w:color="auto" w:fill="DBE5F1" w:themeFill="accent1" w:themeFillTint="33"/>
            <w:vAlign w:val="center"/>
            <w:hideMark/>
          </w:tcPr>
          <w:p w14:paraId="66B2945E"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DBE5F1" w:themeFill="accent1" w:themeFillTint="33"/>
            <w:vAlign w:val="center"/>
            <w:hideMark/>
          </w:tcPr>
          <w:p w14:paraId="6BF2DAF3" w14:textId="5A8CAD0D"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c>
          <w:tcPr>
            <w:tcW w:w="825" w:type="pct"/>
            <w:tcBorders>
              <w:top w:val="nil"/>
              <w:left w:val="nil"/>
              <w:bottom w:val="single" w:sz="4" w:space="0" w:color="auto"/>
              <w:right w:val="single" w:sz="4" w:space="0" w:color="auto"/>
            </w:tcBorders>
            <w:shd w:val="clear" w:color="auto" w:fill="DBE5F1" w:themeFill="accent1" w:themeFillTint="33"/>
            <w:vAlign w:val="center"/>
            <w:hideMark/>
          </w:tcPr>
          <w:p w14:paraId="5EC67F55" w14:textId="753C9975"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r>
      <w:tr w:rsidR="005401D8" w:rsidRPr="005401D8" w14:paraId="39FA6513"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771810B8"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12226</w:t>
            </w:r>
          </w:p>
        </w:tc>
        <w:tc>
          <w:tcPr>
            <w:tcW w:w="2210" w:type="pct"/>
            <w:tcBorders>
              <w:top w:val="nil"/>
              <w:left w:val="nil"/>
              <w:bottom w:val="single" w:sz="4" w:space="0" w:color="auto"/>
              <w:right w:val="single" w:sz="4" w:space="0" w:color="auto"/>
            </w:tcBorders>
            <w:shd w:val="clear" w:color="auto" w:fill="auto"/>
            <w:vAlign w:val="center"/>
            <w:hideMark/>
          </w:tcPr>
          <w:p w14:paraId="714656E8"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Restauración de la flora silvestre en la Reserva Nacional de Junín y zona de influencia</w:t>
            </w:r>
          </w:p>
        </w:tc>
        <w:tc>
          <w:tcPr>
            <w:tcW w:w="343" w:type="pct"/>
            <w:tcBorders>
              <w:top w:val="nil"/>
              <w:left w:val="nil"/>
              <w:bottom w:val="single" w:sz="4" w:space="0" w:color="auto"/>
              <w:right w:val="single" w:sz="4" w:space="0" w:color="auto"/>
            </w:tcBorders>
            <w:shd w:val="clear" w:color="auto" w:fill="auto"/>
            <w:vAlign w:val="center"/>
            <w:hideMark/>
          </w:tcPr>
          <w:p w14:paraId="3280F7B2"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1,529,669</w:t>
            </w:r>
          </w:p>
        </w:tc>
        <w:tc>
          <w:tcPr>
            <w:tcW w:w="507" w:type="pct"/>
            <w:tcBorders>
              <w:top w:val="nil"/>
              <w:left w:val="nil"/>
              <w:bottom w:val="single" w:sz="4" w:space="0" w:color="auto"/>
              <w:right w:val="single" w:sz="4" w:space="0" w:color="auto"/>
            </w:tcBorders>
            <w:shd w:val="clear" w:color="auto" w:fill="auto"/>
            <w:vAlign w:val="center"/>
            <w:hideMark/>
          </w:tcPr>
          <w:p w14:paraId="18AB336B"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7AE05BD8"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Gobierno Regional Junín</w:t>
            </w:r>
          </w:p>
        </w:tc>
        <w:tc>
          <w:tcPr>
            <w:tcW w:w="825" w:type="pct"/>
            <w:tcBorders>
              <w:top w:val="nil"/>
              <w:left w:val="nil"/>
              <w:bottom w:val="single" w:sz="4" w:space="0" w:color="auto"/>
              <w:right w:val="single" w:sz="4" w:space="0" w:color="auto"/>
            </w:tcBorders>
            <w:shd w:val="clear" w:color="auto" w:fill="auto"/>
            <w:vAlign w:val="center"/>
            <w:hideMark/>
          </w:tcPr>
          <w:p w14:paraId="0C3074B8"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Región Junín-Sede Central</w:t>
            </w:r>
          </w:p>
        </w:tc>
      </w:tr>
      <w:tr w:rsidR="005401D8" w:rsidRPr="005401D8" w14:paraId="6571E7F2"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56046683"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10461</w:t>
            </w:r>
          </w:p>
        </w:tc>
        <w:tc>
          <w:tcPr>
            <w:tcW w:w="2210" w:type="pct"/>
            <w:tcBorders>
              <w:top w:val="nil"/>
              <w:left w:val="nil"/>
              <w:bottom w:val="single" w:sz="4" w:space="0" w:color="auto"/>
              <w:right w:val="single" w:sz="4" w:space="0" w:color="auto"/>
            </w:tcBorders>
            <w:shd w:val="clear" w:color="auto" w:fill="auto"/>
            <w:vAlign w:val="center"/>
            <w:hideMark/>
          </w:tcPr>
          <w:p w14:paraId="01DD9CEA"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Construcción de la vía de acceso turístico a la reserva nacional bosque de Pomac - Illimo</w:t>
            </w:r>
          </w:p>
        </w:tc>
        <w:tc>
          <w:tcPr>
            <w:tcW w:w="343" w:type="pct"/>
            <w:tcBorders>
              <w:top w:val="nil"/>
              <w:left w:val="nil"/>
              <w:bottom w:val="single" w:sz="4" w:space="0" w:color="auto"/>
              <w:right w:val="single" w:sz="4" w:space="0" w:color="auto"/>
            </w:tcBorders>
            <w:shd w:val="clear" w:color="auto" w:fill="auto"/>
            <w:vAlign w:val="center"/>
            <w:hideMark/>
          </w:tcPr>
          <w:p w14:paraId="2DD97102"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1,378,255</w:t>
            </w:r>
          </w:p>
        </w:tc>
        <w:tc>
          <w:tcPr>
            <w:tcW w:w="507" w:type="pct"/>
            <w:tcBorders>
              <w:top w:val="nil"/>
              <w:left w:val="nil"/>
              <w:bottom w:val="single" w:sz="4" w:space="0" w:color="auto"/>
              <w:right w:val="single" w:sz="4" w:space="0" w:color="auto"/>
            </w:tcBorders>
            <w:shd w:val="clear" w:color="auto" w:fill="auto"/>
            <w:vAlign w:val="center"/>
            <w:hideMark/>
          </w:tcPr>
          <w:p w14:paraId="09D135D2"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3A0A6679"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Gobierno Regional Lambayeque</w:t>
            </w:r>
          </w:p>
        </w:tc>
        <w:tc>
          <w:tcPr>
            <w:tcW w:w="825" w:type="pct"/>
            <w:tcBorders>
              <w:top w:val="nil"/>
              <w:left w:val="nil"/>
              <w:bottom w:val="single" w:sz="4" w:space="0" w:color="auto"/>
              <w:right w:val="single" w:sz="4" w:space="0" w:color="auto"/>
            </w:tcBorders>
            <w:shd w:val="clear" w:color="auto" w:fill="auto"/>
            <w:vAlign w:val="center"/>
            <w:hideMark/>
          </w:tcPr>
          <w:p w14:paraId="3C09F7BD"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Región Lambayeque-Sede Central</w:t>
            </w:r>
          </w:p>
        </w:tc>
      </w:tr>
      <w:tr w:rsidR="005401D8" w:rsidRPr="005401D8" w14:paraId="5516B885"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5DDC2A65"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141175</w:t>
            </w:r>
          </w:p>
        </w:tc>
        <w:tc>
          <w:tcPr>
            <w:tcW w:w="2210" w:type="pct"/>
            <w:tcBorders>
              <w:top w:val="nil"/>
              <w:left w:val="nil"/>
              <w:bottom w:val="single" w:sz="4" w:space="0" w:color="auto"/>
              <w:right w:val="single" w:sz="4" w:space="0" w:color="auto"/>
            </w:tcBorders>
            <w:shd w:val="clear" w:color="auto" w:fill="auto"/>
            <w:vAlign w:val="center"/>
            <w:hideMark/>
          </w:tcPr>
          <w:p w14:paraId="62534BB7"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Mejoramiento del servicio de seguridad turistica en la reserva nacional pacaya samiria</w:t>
            </w:r>
          </w:p>
        </w:tc>
        <w:tc>
          <w:tcPr>
            <w:tcW w:w="343" w:type="pct"/>
            <w:tcBorders>
              <w:top w:val="nil"/>
              <w:left w:val="nil"/>
              <w:bottom w:val="single" w:sz="4" w:space="0" w:color="auto"/>
              <w:right w:val="single" w:sz="4" w:space="0" w:color="auto"/>
            </w:tcBorders>
            <w:shd w:val="clear" w:color="auto" w:fill="auto"/>
            <w:vAlign w:val="center"/>
            <w:hideMark/>
          </w:tcPr>
          <w:p w14:paraId="308CA251"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1,199,243</w:t>
            </w:r>
          </w:p>
        </w:tc>
        <w:tc>
          <w:tcPr>
            <w:tcW w:w="507" w:type="pct"/>
            <w:tcBorders>
              <w:top w:val="nil"/>
              <w:left w:val="nil"/>
              <w:bottom w:val="single" w:sz="4" w:space="0" w:color="auto"/>
              <w:right w:val="single" w:sz="4" w:space="0" w:color="auto"/>
            </w:tcBorders>
            <w:shd w:val="clear" w:color="auto" w:fill="auto"/>
            <w:vAlign w:val="center"/>
            <w:hideMark/>
          </w:tcPr>
          <w:p w14:paraId="1E3BDA6A"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7936D7F1" w14:textId="61D7B811"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MINCETUR</w:t>
            </w:r>
          </w:p>
        </w:tc>
        <w:tc>
          <w:tcPr>
            <w:tcW w:w="825" w:type="pct"/>
            <w:tcBorders>
              <w:top w:val="nil"/>
              <w:left w:val="nil"/>
              <w:bottom w:val="single" w:sz="4" w:space="0" w:color="auto"/>
              <w:right w:val="single" w:sz="4" w:space="0" w:color="auto"/>
            </w:tcBorders>
            <w:shd w:val="clear" w:color="auto" w:fill="auto"/>
            <w:vAlign w:val="center"/>
            <w:hideMark/>
          </w:tcPr>
          <w:p w14:paraId="480724AC" w14:textId="2E8F2D75" w:rsidR="00547565" w:rsidRPr="005401D8" w:rsidRDefault="00133323"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 xml:space="preserve">MINCETUR </w:t>
            </w:r>
            <w:r w:rsidR="00547565" w:rsidRPr="005401D8">
              <w:rPr>
                <w:rFonts w:eastAsia="Times New Roman" w:cs="Arial"/>
                <w:color w:val="000000"/>
                <w:sz w:val="16"/>
                <w:szCs w:val="16"/>
                <w:lang w:val="es-PE"/>
              </w:rPr>
              <w:t>- Dirección General de Administración</w:t>
            </w:r>
          </w:p>
        </w:tc>
      </w:tr>
      <w:tr w:rsidR="005401D8" w:rsidRPr="005401D8" w14:paraId="24A6D2CD"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63B19E95"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161889</w:t>
            </w:r>
          </w:p>
        </w:tc>
        <w:tc>
          <w:tcPr>
            <w:tcW w:w="2210" w:type="pct"/>
            <w:tcBorders>
              <w:top w:val="nil"/>
              <w:left w:val="nil"/>
              <w:bottom w:val="single" w:sz="4" w:space="0" w:color="auto"/>
              <w:right w:val="single" w:sz="4" w:space="0" w:color="auto"/>
            </w:tcBorders>
            <w:shd w:val="clear" w:color="auto" w:fill="auto"/>
            <w:vAlign w:val="center"/>
            <w:hideMark/>
          </w:tcPr>
          <w:p w14:paraId="301D92EC"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Construcción e implementación de un centro de interpretación en la reserva nacional de Lachay</w:t>
            </w:r>
          </w:p>
        </w:tc>
        <w:tc>
          <w:tcPr>
            <w:tcW w:w="343" w:type="pct"/>
            <w:tcBorders>
              <w:top w:val="nil"/>
              <w:left w:val="nil"/>
              <w:bottom w:val="single" w:sz="4" w:space="0" w:color="auto"/>
              <w:right w:val="single" w:sz="4" w:space="0" w:color="auto"/>
            </w:tcBorders>
            <w:shd w:val="clear" w:color="auto" w:fill="auto"/>
            <w:vAlign w:val="center"/>
            <w:hideMark/>
          </w:tcPr>
          <w:p w14:paraId="799A2493"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799,793</w:t>
            </w:r>
          </w:p>
        </w:tc>
        <w:tc>
          <w:tcPr>
            <w:tcW w:w="507" w:type="pct"/>
            <w:tcBorders>
              <w:top w:val="nil"/>
              <w:left w:val="nil"/>
              <w:bottom w:val="single" w:sz="4" w:space="0" w:color="auto"/>
              <w:right w:val="single" w:sz="4" w:space="0" w:color="auto"/>
            </w:tcBorders>
            <w:shd w:val="clear" w:color="auto" w:fill="auto"/>
            <w:vAlign w:val="center"/>
            <w:hideMark/>
          </w:tcPr>
          <w:p w14:paraId="297A0820"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49967CAE" w14:textId="2BBD570B"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c>
          <w:tcPr>
            <w:tcW w:w="825" w:type="pct"/>
            <w:tcBorders>
              <w:top w:val="nil"/>
              <w:left w:val="nil"/>
              <w:bottom w:val="single" w:sz="4" w:space="0" w:color="auto"/>
              <w:right w:val="single" w:sz="4" w:space="0" w:color="auto"/>
            </w:tcBorders>
            <w:shd w:val="clear" w:color="auto" w:fill="auto"/>
            <w:vAlign w:val="center"/>
            <w:hideMark/>
          </w:tcPr>
          <w:p w14:paraId="2D39FCDF" w14:textId="45CFB68C"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SERNANP</w:t>
            </w:r>
          </w:p>
        </w:tc>
      </w:tr>
      <w:tr w:rsidR="005401D8" w:rsidRPr="005401D8" w14:paraId="4CAA255D"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2EF1C982"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141375</w:t>
            </w:r>
          </w:p>
        </w:tc>
        <w:tc>
          <w:tcPr>
            <w:tcW w:w="2210" w:type="pct"/>
            <w:tcBorders>
              <w:top w:val="nil"/>
              <w:left w:val="nil"/>
              <w:bottom w:val="single" w:sz="4" w:space="0" w:color="auto"/>
              <w:right w:val="single" w:sz="4" w:space="0" w:color="auto"/>
            </w:tcBorders>
            <w:shd w:val="clear" w:color="auto" w:fill="auto"/>
            <w:vAlign w:val="center"/>
            <w:hideMark/>
          </w:tcPr>
          <w:p w14:paraId="0CCC3B33"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Mejoramiento del servicio de seguridad turística en la Reserva Nacional de Paracas</w:t>
            </w:r>
          </w:p>
        </w:tc>
        <w:tc>
          <w:tcPr>
            <w:tcW w:w="343" w:type="pct"/>
            <w:tcBorders>
              <w:top w:val="nil"/>
              <w:left w:val="nil"/>
              <w:bottom w:val="single" w:sz="4" w:space="0" w:color="auto"/>
              <w:right w:val="single" w:sz="4" w:space="0" w:color="auto"/>
            </w:tcBorders>
            <w:shd w:val="clear" w:color="auto" w:fill="auto"/>
            <w:vAlign w:val="center"/>
            <w:hideMark/>
          </w:tcPr>
          <w:p w14:paraId="1207C522"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385,697</w:t>
            </w:r>
          </w:p>
        </w:tc>
        <w:tc>
          <w:tcPr>
            <w:tcW w:w="507" w:type="pct"/>
            <w:tcBorders>
              <w:top w:val="nil"/>
              <w:left w:val="nil"/>
              <w:bottom w:val="single" w:sz="4" w:space="0" w:color="auto"/>
              <w:right w:val="single" w:sz="4" w:space="0" w:color="auto"/>
            </w:tcBorders>
            <w:shd w:val="clear" w:color="auto" w:fill="auto"/>
            <w:vAlign w:val="center"/>
            <w:hideMark/>
          </w:tcPr>
          <w:p w14:paraId="4F226645"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75BA3264" w14:textId="19C105EF"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MINCETUR</w:t>
            </w:r>
          </w:p>
        </w:tc>
        <w:tc>
          <w:tcPr>
            <w:tcW w:w="825" w:type="pct"/>
            <w:tcBorders>
              <w:top w:val="nil"/>
              <w:left w:val="nil"/>
              <w:bottom w:val="single" w:sz="4" w:space="0" w:color="auto"/>
              <w:right w:val="single" w:sz="4" w:space="0" w:color="auto"/>
            </w:tcBorders>
            <w:shd w:val="clear" w:color="auto" w:fill="auto"/>
            <w:vAlign w:val="center"/>
            <w:hideMark/>
          </w:tcPr>
          <w:p w14:paraId="032C118E" w14:textId="340C9758" w:rsidR="00547565" w:rsidRPr="005401D8" w:rsidRDefault="00133323"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 xml:space="preserve">MINCETUR </w:t>
            </w:r>
            <w:r w:rsidR="00547565" w:rsidRPr="005401D8">
              <w:rPr>
                <w:rFonts w:eastAsia="Times New Roman" w:cs="Arial"/>
                <w:color w:val="000000"/>
                <w:sz w:val="16"/>
                <w:szCs w:val="16"/>
                <w:lang w:val="es-PE"/>
              </w:rPr>
              <w:t>- Dirección General de Administración</w:t>
            </w:r>
          </w:p>
        </w:tc>
      </w:tr>
      <w:tr w:rsidR="005401D8" w:rsidRPr="005401D8" w14:paraId="02B051C5" w14:textId="77777777" w:rsidTr="005401D8">
        <w:trPr>
          <w:trHeight w:val="20"/>
        </w:trPr>
        <w:tc>
          <w:tcPr>
            <w:tcW w:w="242" w:type="pct"/>
            <w:tcBorders>
              <w:top w:val="nil"/>
              <w:left w:val="single" w:sz="4" w:space="0" w:color="auto"/>
              <w:bottom w:val="single" w:sz="4" w:space="0" w:color="auto"/>
              <w:right w:val="single" w:sz="4" w:space="0" w:color="auto"/>
            </w:tcBorders>
            <w:shd w:val="clear" w:color="auto" w:fill="auto"/>
            <w:vAlign w:val="center"/>
            <w:hideMark/>
          </w:tcPr>
          <w:p w14:paraId="36684425"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74207</w:t>
            </w:r>
          </w:p>
        </w:tc>
        <w:tc>
          <w:tcPr>
            <w:tcW w:w="2210" w:type="pct"/>
            <w:tcBorders>
              <w:top w:val="nil"/>
              <w:left w:val="nil"/>
              <w:bottom w:val="single" w:sz="4" w:space="0" w:color="auto"/>
              <w:right w:val="single" w:sz="4" w:space="0" w:color="auto"/>
            </w:tcBorders>
            <w:shd w:val="clear" w:color="auto" w:fill="auto"/>
            <w:vAlign w:val="center"/>
            <w:hideMark/>
          </w:tcPr>
          <w:p w14:paraId="590B0460"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Fortalecimiento de capacidades institucionales del órgano técnico de gestión del estado del estado para la conservación de la Reserva Nacional de Pacaya Samiria - región Loreto</w:t>
            </w:r>
          </w:p>
        </w:tc>
        <w:tc>
          <w:tcPr>
            <w:tcW w:w="343" w:type="pct"/>
            <w:tcBorders>
              <w:top w:val="nil"/>
              <w:left w:val="nil"/>
              <w:bottom w:val="single" w:sz="4" w:space="0" w:color="auto"/>
              <w:right w:val="single" w:sz="4" w:space="0" w:color="auto"/>
            </w:tcBorders>
            <w:shd w:val="clear" w:color="auto" w:fill="auto"/>
            <w:vAlign w:val="center"/>
            <w:hideMark/>
          </w:tcPr>
          <w:p w14:paraId="16B3B4EA" w14:textId="77777777" w:rsidR="00547565" w:rsidRPr="005401D8" w:rsidRDefault="00547565" w:rsidP="005401D8">
            <w:pPr>
              <w:spacing w:after="0" w:line="240" w:lineRule="auto"/>
              <w:jc w:val="right"/>
              <w:rPr>
                <w:rFonts w:eastAsia="Times New Roman" w:cs="Arial"/>
                <w:color w:val="000000"/>
                <w:sz w:val="16"/>
                <w:szCs w:val="16"/>
                <w:lang w:val="es-PE"/>
              </w:rPr>
            </w:pPr>
            <w:r w:rsidRPr="005401D8">
              <w:rPr>
                <w:rFonts w:eastAsia="Times New Roman" w:cs="Arial"/>
                <w:color w:val="000000"/>
                <w:sz w:val="16"/>
                <w:szCs w:val="16"/>
                <w:lang w:val="es-PE"/>
              </w:rPr>
              <w:t>321,640</w:t>
            </w:r>
          </w:p>
        </w:tc>
        <w:tc>
          <w:tcPr>
            <w:tcW w:w="507" w:type="pct"/>
            <w:tcBorders>
              <w:top w:val="nil"/>
              <w:left w:val="nil"/>
              <w:bottom w:val="single" w:sz="4" w:space="0" w:color="auto"/>
              <w:right w:val="single" w:sz="4" w:space="0" w:color="auto"/>
            </w:tcBorders>
            <w:shd w:val="clear" w:color="auto" w:fill="auto"/>
            <w:vAlign w:val="center"/>
            <w:hideMark/>
          </w:tcPr>
          <w:p w14:paraId="073026EA" w14:textId="77777777" w:rsidR="00547565" w:rsidRPr="005401D8" w:rsidRDefault="00547565" w:rsidP="005401D8">
            <w:pPr>
              <w:spacing w:after="0" w:line="240" w:lineRule="auto"/>
              <w:jc w:val="center"/>
              <w:rPr>
                <w:rFonts w:eastAsia="Times New Roman" w:cs="Arial"/>
                <w:color w:val="000000"/>
                <w:sz w:val="16"/>
                <w:szCs w:val="16"/>
                <w:lang w:val="es-PE"/>
              </w:rPr>
            </w:pPr>
            <w:r w:rsidRPr="005401D8">
              <w:rPr>
                <w:rFonts w:eastAsia="Times New Roman" w:cs="Arial"/>
                <w:color w:val="000000"/>
                <w:sz w:val="16"/>
                <w:szCs w:val="16"/>
                <w:lang w:val="es-PE"/>
              </w:rPr>
              <w:t>Viable</w:t>
            </w:r>
          </w:p>
        </w:tc>
        <w:tc>
          <w:tcPr>
            <w:tcW w:w="872" w:type="pct"/>
            <w:tcBorders>
              <w:top w:val="nil"/>
              <w:left w:val="nil"/>
              <w:bottom w:val="single" w:sz="4" w:space="0" w:color="auto"/>
              <w:right w:val="single" w:sz="4" w:space="0" w:color="auto"/>
            </w:tcBorders>
            <w:shd w:val="clear" w:color="auto" w:fill="auto"/>
            <w:vAlign w:val="center"/>
            <w:hideMark/>
          </w:tcPr>
          <w:p w14:paraId="5D51916F"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Gobierno Regional Loreto</w:t>
            </w:r>
          </w:p>
        </w:tc>
        <w:tc>
          <w:tcPr>
            <w:tcW w:w="825" w:type="pct"/>
            <w:tcBorders>
              <w:top w:val="nil"/>
              <w:left w:val="nil"/>
              <w:bottom w:val="single" w:sz="4" w:space="0" w:color="auto"/>
              <w:right w:val="single" w:sz="4" w:space="0" w:color="auto"/>
            </w:tcBorders>
            <w:shd w:val="clear" w:color="auto" w:fill="auto"/>
            <w:vAlign w:val="center"/>
            <w:hideMark/>
          </w:tcPr>
          <w:p w14:paraId="1D453288" w14:textId="77777777" w:rsidR="00547565" w:rsidRPr="005401D8" w:rsidRDefault="00547565" w:rsidP="005401D8">
            <w:pPr>
              <w:spacing w:after="0" w:line="240" w:lineRule="auto"/>
              <w:rPr>
                <w:rFonts w:eastAsia="Times New Roman" w:cs="Arial"/>
                <w:color w:val="000000"/>
                <w:sz w:val="16"/>
                <w:szCs w:val="16"/>
                <w:lang w:val="es-PE"/>
              </w:rPr>
            </w:pPr>
            <w:r w:rsidRPr="005401D8">
              <w:rPr>
                <w:rFonts w:eastAsia="Times New Roman" w:cs="Arial"/>
                <w:color w:val="000000"/>
                <w:sz w:val="16"/>
                <w:szCs w:val="16"/>
                <w:lang w:val="es-PE"/>
              </w:rPr>
              <w:t>Región Loreto-Sede Central</w:t>
            </w:r>
          </w:p>
        </w:tc>
      </w:tr>
    </w:tbl>
    <w:p w14:paraId="4037DDF4" w14:textId="325B0AD6" w:rsidR="005401D8" w:rsidRPr="005401D8" w:rsidRDefault="005401D8" w:rsidP="00547565">
      <w:pPr>
        <w:jc w:val="left"/>
        <w:rPr>
          <w:rFonts w:eastAsiaTheme="majorEastAsia" w:cs="Arial"/>
          <w:sz w:val="18"/>
          <w:szCs w:val="20"/>
        </w:rPr>
      </w:pPr>
      <w:r w:rsidRPr="005401D8">
        <w:rPr>
          <w:rFonts w:cs="Arial"/>
          <w:sz w:val="16"/>
        </w:rPr>
        <w:t>Fuente: Banco de Proyectos del SNIP (http://www.mef.gob.pe/contenidos/inv_publica/new-bp/operaciones-bp.ph</w:t>
      </w:r>
    </w:p>
    <w:p w14:paraId="60CB50B9" w14:textId="77777777" w:rsidR="005401D8" w:rsidRDefault="005401D8" w:rsidP="00547565">
      <w:pPr>
        <w:jc w:val="left"/>
        <w:rPr>
          <w:rFonts w:cs="Arial"/>
          <w:sz w:val="16"/>
        </w:rPr>
      </w:pPr>
    </w:p>
    <w:p w14:paraId="72E4AA50" w14:textId="77777777" w:rsidR="005401D8" w:rsidRDefault="005401D8" w:rsidP="00547565">
      <w:pPr>
        <w:jc w:val="left"/>
        <w:rPr>
          <w:rFonts w:cs="Arial"/>
          <w:sz w:val="16"/>
        </w:rPr>
        <w:sectPr w:rsidR="005401D8" w:rsidSect="005401D8">
          <w:pgSz w:w="16840" w:h="11901" w:orient="landscape"/>
          <w:pgMar w:top="1701" w:right="1418" w:bottom="1701" w:left="1418" w:header="709" w:footer="709" w:gutter="0"/>
          <w:cols w:space="708"/>
          <w:docGrid w:linePitch="360"/>
        </w:sectPr>
      </w:pPr>
    </w:p>
    <w:p w14:paraId="17B691F5" w14:textId="19BE8478" w:rsidR="00547565" w:rsidRPr="00AC4284" w:rsidRDefault="00547565" w:rsidP="00C40F26">
      <w:pPr>
        <w:pStyle w:val="Ttulo2"/>
        <w:pageBreakBefore/>
      </w:pPr>
      <w:bookmarkStart w:id="12" w:name="_Toc299554798"/>
      <w:r w:rsidRPr="00075B02">
        <w:lastRenderedPageBreak/>
        <w:t xml:space="preserve">Anexo </w:t>
      </w:r>
      <w:r w:rsidR="00430EC5">
        <w:t>9</w:t>
      </w:r>
      <w:r w:rsidRPr="00075B02">
        <w:t xml:space="preserve">: </w:t>
      </w:r>
      <w:bookmarkStart w:id="13" w:name="_Toc299554799"/>
      <w:bookmarkEnd w:id="12"/>
      <w:r w:rsidR="003C2780">
        <w:t>Mecanismos financieros</w:t>
      </w:r>
      <w:bookmarkEnd w:id="13"/>
    </w:p>
    <w:tbl>
      <w:tblPr>
        <w:tblW w:w="4635" w:type="pct"/>
        <w:tblLayout w:type="fixed"/>
        <w:tblCellMar>
          <w:left w:w="70" w:type="dxa"/>
          <w:right w:w="70" w:type="dxa"/>
        </w:tblCellMar>
        <w:tblLook w:val="04A0" w:firstRow="1" w:lastRow="0" w:firstColumn="1" w:lastColumn="0" w:noHBand="0" w:noVBand="1"/>
      </w:tblPr>
      <w:tblGrid>
        <w:gridCol w:w="1437"/>
        <w:gridCol w:w="1955"/>
        <w:gridCol w:w="4615"/>
      </w:tblGrid>
      <w:tr w:rsidR="00C40F26" w:rsidRPr="00C40F26" w14:paraId="1E9696E5" w14:textId="77777777" w:rsidTr="00C40F26">
        <w:trPr>
          <w:trHeight w:val="220"/>
        </w:trPr>
        <w:tc>
          <w:tcPr>
            <w:tcW w:w="5000" w:type="pct"/>
            <w:gridSpan w:val="3"/>
            <w:vMerge w:val="restart"/>
            <w:tcBorders>
              <w:top w:val="single" w:sz="8" w:space="0" w:color="4F81BD"/>
              <w:left w:val="single" w:sz="8" w:space="0" w:color="4F81BD"/>
              <w:bottom w:val="single" w:sz="8" w:space="0" w:color="4F81BD"/>
              <w:right w:val="single" w:sz="4" w:space="0" w:color="4F81BD"/>
            </w:tcBorders>
            <w:shd w:val="clear" w:color="000000" w:fill="1F497D"/>
            <w:vAlign w:val="center"/>
            <w:hideMark/>
          </w:tcPr>
          <w:p w14:paraId="6FBD9F12" w14:textId="77777777" w:rsidR="003C2780" w:rsidRPr="00C40F26" w:rsidRDefault="003C2780" w:rsidP="003C2780">
            <w:pPr>
              <w:spacing w:after="0" w:line="240" w:lineRule="auto"/>
              <w:jc w:val="center"/>
              <w:rPr>
                <w:rFonts w:eastAsia="Times New Roman" w:cs="Arial"/>
                <w:color w:val="FFFFFF"/>
                <w:sz w:val="16"/>
                <w:szCs w:val="16"/>
                <w:lang w:val="es-PE" w:eastAsia="es-ES"/>
              </w:rPr>
            </w:pPr>
            <w:r w:rsidRPr="00C40F26">
              <w:rPr>
                <w:rFonts w:eastAsia="Times New Roman" w:cs="Arial"/>
                <w:color w:val="FFFFFF"/>
                <w:sz w:val="16"/>
                <w:szCs w:val="16"/>
                <w:lang w:val="es-PE" w:eastAsia="es-ES"/>
              </w:rPr>
              <w:t>Tipos de Mecanismos Financieros</w:t>
            </w:r>
          </w:p>
        </w:tc>
      </w:tr>
      <w:tr w:rsidR="00C40F26" w:rsidRPr="00C40F26" w14:paraId="1E63D749" w14:textId="77777777" w:rsidTr="00C40F26">
        <w:trPr>
          <w:trHeight w:val="220"/>
        </w:trPr>
        <w:tc>
          <w:tcPr>
            <w:tcW w:w="5000" w:type="pct"/>
            <w:gridSpan w:val="3"/>
            <w:vMerge/>
            <w:tcBorders>
              <w:top w:val="single" w:sz="8" w:space="0" w:color="4F81BD"/>
              <w:left w:val="single" w:sz="8" w:space="0" w:color="4F81BD"/>
              <w:bottom w:val="single" w:sz="8" w:space="0" w:color="4F81BD"/>
              <w:right w:val="single" w:sz="4" w:space="0" w:color="4F81BD"/>
            </w:tcBorders>
            <w:vAlign w:val="center"/>
            <w:hideMark/>
          </w:tcPr>
          <w:p w14:paraId="12279255" w14:textId="77777777" w:rsidR="003C2780" w:rsidRPr="00C40F26" w:rsidRDefault="003C2780" w:rsidP="003C2780">
            <w:pPr>
              <w:spacing w:after="0" w:line="240" w:lineRule="auto"/>
              <w:jc w:val="left"/>
              <w:rPr>
                <w:rFonts w:eastAsia="Times New Roman" w:cs="Arial"/>
                <w:color w:val="FFFFFF"/>
                <w:sz w:val="16"/>
                <w:szCs w:val="16"/>
                <w:lang w:val="es-PE" w:eastAsia="es-ES"/>
              </w:rPr>
            </w:pPr>
          </w:p>
        </w:tc>
      </w:tr>
      <w:tr w:rsidR="00C40F26" w:rsidRPr="00C40F26" w14:paraId="069C20C3" w14:textId="77777777" w:rsidTr="00C40F26">
        <w:trPr>
          <w:trHeight w:val="220"/>
        </w:trPr>
        <w:tc>
          <w:tcPr>
            <w:tcW w:w="5000" w:type="pct"/>
            <w:gridSpan w:val="3"/>
            <w:vMerge/>
            <w:tcBorders>
              <w:top w:val="single" w:sz="8" w:space="0" w:color="4F81BD"/>
              <w:left w:val="single" w:sz="8" w:space="0" w:color="4F81BD"/>
              <w:bottom w:val="single" w:sz="8" w:space="0" w:color="4F81BD"/>
              <w:right w:val="single" w:sz="4" w:space="0" w:color="4F81BD"/>
            </w:tcBorders>
            <w:vAlign w:val="center"/>
            <w:hideMark/>
          </w:tcPr>
          <w:p w14:paraId="7746DB51" w14:textId="77777777" w:rsidR="003C2780" w:rsidRPr="00C40F26" w:rsidRDefault="003C2780" w:rsidP="003C2780">
            <w:pPr>
              <w:spacing w:after="0" w:line="240" w:lineRule="auto"/>
              <w:jc w:val="left"/>
              <w:rPr>
                <w:rFonts w:eastAsia="Times New Roman" w:cs="Arial"/>
                <w:color w:val="FFFFFF"/>
                <w:sz w:val="16"/>
                <w:szCs w:val="16"/>
                <w:lang w:val="es-PE" w:eastAsia="es-ES"/>
              </w:rPr>
            </w:pPr>
          </w:p>
        </w:tc>
      </w:tr>
      <w:tr w:rsidR="00C40F26" w:rsidRPr="00C40F26" w14:paraId="29F4B5A1" w14:textId="77777777" w:rsidTr="00C40F26">
        <w:trPr>
          <w:trHeight w:val="20"/>
        </w:trPr>
        <w:tc>
          <w:tcPr>
            <w:tcW w:w="897" w:type="pct"/>
            <w:vMerge w:val="restart"/>
            <w:tcBorders>
              <w:top w:val="nil"/>
              <w:left w:val="single" w:sz="8" w:space="0" w:color="4F81BD"/>
              <w:bottom w:val="single" w:sz="8" w:space="0" w:color="4F81BD"/>
              <w:right w:val="single" w:sz="4" w:space="0" w:color="4F81BD"/>
            </w:tcBorders>
            <w:shd w:val="clear" w:color="000000" w:fill="DCE6F1"/>
            <w:vAlign w:val="center"/>
            <w:hideMark/>
          </w:tcPr>
          <w:p w14:paraId="2EA19B4D" w14:textId="77777777" w:rsidR="003C2780" w:rsidRPr="00C40F26" w:rsidRDefault="003C2780" w:rsidP="003C2780">
            <w:pPr>
              <w:spacing w:after="0" w:line="240" w:lineRule="auto"/>
              <w:jc w:val="center"/>
              <w:rPr>
                <w:rFonts w:eastAsia="Times New Roman" w:cs="Arial"/>
                <w:color w:val="000000"/>
                <w:sz w:val="16"/>
                <w:szCs w:val="16"/>
                <w:lang w:val="es-PE" w:eastAsia="es-ES"/>
              </w:rPr>
            </w:pPr>
            <w:r w:rsidRPr="00C40F26">
              <w:rPr>
                <w:rFonts w:eastAsia="Times New Roman" w:cs="Arial"/>
                <w:color w:val="000000"/>
                <w:sz w:val="16"/>
                <w:szCs w:val="16"/>
                <w:lang w:val="es-PE" w:eastAsia="es-ES"/>
              </w:rPr>
              <w:t>Administración y Atracción de Fondos Externos</w:t>
            </w:r>
          </w:p>
        </w:tc>
        <w:tc>
          <w:tcPr>
            <w:tcW w:w="1221" w:type="pct"/>
            <w:vMerge w:val="restart"/>
            <w:tcBorders>
              <w:top w:val="nil"/>
              <w:left w:val="single" w:sz="4" w:space="0" w:color="4F81BD"/>
              <w:bottom w:val="single" w:sz="4" w:space="0" w:color="4F81BD"/>
              <w:right w:val="single" w:sz="4" w:space="0" w:color="4F81BD"/>
            </w:tcBorders>
            <w:shd w:val="clear" w:color="auto" w:fill="auto"/>
            <w:vAlign w:val="center"/>
            <w:hideMark/>
          </w:tcPr>
          <w:p w14:paraId="08CFB73C"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Presupuesto Público</w:t>
            </w:r>
          </w:p>
        </w:tc>
        <w:tc>
          <w:tcPr>
            <w:tcW w:w="2882" w:type="pct"/>
            <w:tcBorders>
              <w:top w:val="nil"/>
              <w:left w:val="nil"/>
              <w:bottom w:val="single" w:sz="4" w:space="0" w:color="4F81BD"/>
              <w:right w:val="single" w:sz="4" w:space="0" w:color="4F81BD"/>
            </w:tcBorders>
            <w:shd w:val="clear" w:color="auto" w:fill="auto"/>
            <w:noWrap/>
            <w:vAlign w:val="bottom"/>
            <w:hideMark/>
          </w:tcPr>
          <w:p w14:paraId="23B53F9B"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Programas Presupuestales y Presupuesto por Resultados</w:t>
            </w:r>
          </w:p>
        </w:tc>
      </w:tr>
      <w:tr w:rsidR="00C40F26" w:rsidRPr="00C40F26" w14:paraId="35E386AE"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BE89D5C"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15E98AEC"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3B833190"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Sistema Nacional de Inversion Publica</w:t>
            </w:r>
          </w:p>
        </w:tc>
      </w:tr>
      <w:tr w:rsidR="00C40F26" w:rsidRPr="00C40F26" w14:paraId="74717849"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74B28731"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7FF955AA"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1B584622"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Presupuesto Participativo/ canon minero</w:t>
            </w:r>
          </w:p>
        </w:tc>
      </w:tr>
      <w:tr w:rsidR="00C40F26" w:rsidRPr="00C40F26" w14:paraId="389CD552"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402083ED"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val="restart"/>
            <w:tcBorders>
              <w:top w:val="nil"/>
              <w:left w:val="single" w:sz="4" w:space="0" w:color="4F81BD"/>
              <w:bottom w:val="single" w:sz="4" w:space="0" w:color="4F81BD"/>
              <w:right w:val="single" w:sz="4" w:space="0" w:color="4F81BD"/>
            </w:tcBorders>
            <w:shd w:val="clear" w:color="auto" w:fill="auto"/>
            <w:vAlign w:val="center"/>
            <w:hideMark/>
          </w:tcPr>
          <w:p w14:paraId="3A71FB3B"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Ayuda Extranjera</w:t>
            </w:r>
          </w:p>
        </w:tc>
        <w:tc>
          <w:tcPr>
            <w:tcW w:w="2882" w:type="pct"/>
            <w:tcBorders>
              <w:top w:val="nil"/>
              <w:left w:val="nil"/>
              <w:bottom w:val="single" w:sz="4" w:space="0" w:color="4F81BD"/>
              <w:right w:val="single" w:sz="4" w:space="0" w:color="4F81BD"/>
            </w:tcBorders>
            <w:shd w:val="clear" w:color="auto" w:fill="auto"/>
            <w:noWrap/>
            <w:vAlign w:val="bottom"/>
            <w:hideMark/>
          </w:tcPr>
          <w:p w14:paraId="41BFE1FF"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Fondos para la Conservacion y Fondos Ambientales</w:t>
            </w:r>
          </w:p>
        </w:tc>
      </w:tr>
      <w:tr w:rsidR="00C40F26" w:rsidRPr="00C40F26" w14:paraId="68D88A29"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73B081A1"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5569EB55"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5B7600CE"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Fondos para el desarrollo</w:t>
            </w:r>
          </w:p>
        </w:tc>
      </w:tr>
      <w:tr w:rsidR="00C40F26" w:rsidRPr="00C40F26" w14:paraId="7A81161E"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56392634"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val="restart"/>
            <w:tcBorders>
              <w:top w:val="nil"/>
              <w:left w:val="single" w:sz="4" w:space="0" w:color="4F81BD"/>
              <w:bottom w:val="single" w:sz="8" w:space="0" w:color="4F81BD"/>
              <w:right w:val="single" w:sz="4" w:space="0" w:color="4F81BD"/>
            </w:tcBorders>
            <w:shd w:val="clear" w:color="auto" w:fill="auto"/>
            <w:vAlign w:val="center"/>
            <w:hideMark/>
          </w:tcPr>
          <w:p w14:paraId="697B7487"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Contribuciones Privadas</w:t>
            </w:r>
          </w:p>
        </w:tc>
        <w:tc>
          <w:tcPr>
            <w:tcW w:w="2882" w:type="pct"/>
            <w:tcBorders>
              <w:top w:val="nil"/>
              <w:left w:val="nil"/>
              <w:bottom w:val="single" w:sz="4" w:space="0" w:color="4F81BD"/>
              <w:right w:val="single" w:sz="4" w:space="0" w:color="4F81BD"/>
            </w:tcBorders>
            <w:shd w:val="clear" w:color="auto" w:fill="auto"/>
            <w:noWrap/>
            <w:vAlign w:val="bottom"/>
            <w:hideMark/>
          </w:tcPr>
          <w:p w14:paraId="40323E80"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Patronatos y Filantropia</w:t>
            </w:r>
          </w:p>
        </w:tc>
      </w:tr>
      <w:tr w:rsidR="00C40F26" w:rsidRPr="00C40F26" w14:paraId="41864F32"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453A6739"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8" w:space="0" w:color="4F81BD"/>
              <w:right w:val="single" w:sz="4" w:space="0" w:color="4F81BD"/>
            </w:tcBorders>
            <w:vAlign w:val="center"/>
            <w:hideMark/>
          </w:tcPr>
          <w:p w14:paraId="6C96C5F4"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6F351015"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Responsabilidad Social Empresarial</w:t>
            </w:r>
          </w:p>
        </w:tc>
      </w:tr>
      <w:tr w:rsidR="00C40F26" w:rsidRPr="00C40F26" w14:paraId="23CA4891"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5899186A"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8" w:space="0" w:color="4F81BD"/>
              <w:right w:val="single" w:sz="4" w:space="0" w:color="4F81BD"/>
            </w:tcBorders>
            <w:vAlign w:val="center"/>
            <w:hideMark/>
          </w:tcPr>
          <w:p w14:paraId="044A7FE4"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3918F817"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Patrocinadores</w:t>
            </w:r>
          </w:p>
        </w:tc>
      </w:tr>
      <w:tr w:rsidR="00C40F26" w:rsidRPr="00C40F26" w14:paraId="54DC4569"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24EA92F"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8" w:space="0" w:color="4F81BD"/>
              <w:right w:val="single" w:sz="4" w:space="0" w:color="4F81BD"/>
            </w:tcBorders>
            <w:vAlign w:val="center"/>
            <w:hideMark/>
          </w:tcPr>
          <w:p w14:paraId="3EBD46FE"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7E594CB8" w14:textId="3EAEF04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Esquemas de pago voluntari</w:t>
            </w:r>
            <w:r w:rsidR="00C40F26">
              <w:rPr>
                <w:rFonts w:eastAsia="Times New Roman" w:cs="Arial"/>
                <w:color w:val="000000"/>
                <w:sz w:val="16"/>
                <w:szCs w:val="16"/>
                <w:lang w:val="es-PE" w:eastAsia="es-ES"/>
              </w:rPr>
              <w:t xml:space="preserve">o por uso de bienes y servicios </w:t>
            </w:r>
            <w:r w:rsidRPr="00C40F26">
              <w:rPr>
                <w:rFonts w:eastAsia="Times New Roman" w:cs="Arial"/>
                <w:color w:val="000000"/>
                <w:sz w:val="16"/>
                <w:szCs w:val="16"/>
                <w:lang w:val="es-PE" w:eastAsia="es-ES"/>
              </w:rPr>
              <w:t>ecosistemicos</w:t>
            </w:r>
          </w:p>
        </w:tc>
      </w:tr>
      <w:tr w:rsidR="00C40F26" w:rsidRPr="00C40F26" w14:paraId="7C733448"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15FBD17"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8" w:space="0" w:color="4F81BD"/>
              <w:right w:val="single" w:sz="4" w:space="0" w:color="4F81BD"/>
            </w:tcBorders>
            <w:vAlign w:val="center"/>
            <w:hideMark/>
          </w:tcPr>
          <w:p w14:paraId="70E5DD11"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8" w:space="0" w:color="4F81BD"/>
              <w:right w:val="single" w:sz="4" w:space="0" w:color="4F81BD"/>
            </w:tcBorders>
            <w:shd w:val="clear" w:color="auto" w:fill="auto"/>
            <w:noWrap/>
            <w:vAlign w:val="bottom"/>
            <w:hideMark/>
          </w:tcPr>
          <w:p w14:paraId="3D5EBA7B"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Donaciones de tiempo y capacidades (trabajo probono)</w:t>
            </w:r>
          </w:p>
        </w:tc>
      </w:tr>
      <w:tr w:rsidR="00C40F26" w:rsidRPr="00C40F26" w14:paraId="2DA31CE9" w14:textId="77777777" w:rsidTr="00C40F26">
        <w:trPr>
          <w:trHeight w:val="20"/>
        </w:trPr>
        <w:tc>
          <w:tcPr>
            <w:tcW w:w="897" w:type="pct"/>
            <w:vMerge w:val="restart"/>
            <w:tcBorders>
              <w:top w:val="nil"/>
              <w:left w:val="single" w:sz="8" w:space="0" w:color="4F81BD"/>
              <w:bottom w:val="single" w:sz="8" w:space="0" w:color="4F81BD"/>
              <w:right w:val="single" w:sz="4" w:space="0" w:color="4F81BD"/>
            </w:tcBorders>
            <w:shd w:val="clear" w:color="000000" w:fill="DCE6F1"/>
            <w:vAlign w:val="center"/>
            <w:hideMark/>
          </w:tcPr>
          <w:p w14:paraId="6AA9B5D9" w14:textId="77777777" w:rsidR="003C2780" w:rsidRPr="00C40F26" w:rsidRDefault="003C2780" w:rsidP="003C2780">
            <w:pPr>
              <w:spacing w:after="0" w:line="240" w:lineRule="auto"/>
              <w:jc w:val="center"/>
              <w:rPr>
                <w:rFonts w:eastAsia="Times New Roman" w:cs="Arial"/>
                <w:color w:val="000000"/>
                <w:sz w:val="16"/>
                <w:szCs w:val="16"/>
                <w:lang w:val="es-PE" w:eastAsia="es-ES"/>
              </w:rPr>
            </w:pPr>
            <w:r w:rsidRPr="00C40F26">
              <w:rPr>
                <w:rFonts w:eastAsia="Times New Roman" w:cs="Arial"/>
                <w:color w:val="000000"/>
                <w:sz w:val="16"/>
                <w:szCs w:val="16"/>
                <w:lang w:val="es-PE" w:eastAsia="es-ES"/>
              </w:rPr>
              <w:t>Fondos para fomentar y fortalecer la conservación participativa</w:t>
            </w:r>
          </w:p>
        </w:tc>
        <w:tc>
          <w:tcPr>
            <w:tcW w:w="1221" w:type="pct"/>
            <w:vMerge w:val="restart"/>
            <w:tcBorders>
              <w:top w:val="nil"/>
              <w:left w:val="single" w:sz="4" w:space="0" w:color="4F81BD"/>
              <w:bottom w:val="single" w:sz="4" w:space="0" w:color="4F81BD"/>
              <w:right w:val="single" w:sz="4" w:space="0" w:color="4F81BD"/>
            </w:tcBorders>
            <w:shd w:val="clear" w:color="auto" w:fill="auto"/>
            <w:vAlign w:val="center"/>
            <w:hideMark/>
          </w:tcPr>
          <w:p w14:paraId="0BB2443D"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Instrumentos fiscales</w:t>
            </w:r>
          </w:p>
        </w:tc>
        <w:tc>
          <w:tcPr>
            <w:tcW w:w="2882" w:type="pct"/>
            <w:tcBorders>
              <w:top w:val="nil"/>
              <w:left w:val="nil"/>
              <w:bottom w:val="single" w:sz="4" w:space="0" w:color="4F81BD"/>
              <w:right w:val="single" w:sz="4" w:space="0" w:color="4F81BD"/>
            </w:tcBorders>
            <w:shd w:val="clear" w:color="auto" w:fill="auto"/>
            <w:noWrap/>
            <w:vAlign w:val="bottom"/>
            <w:hideMark/>
          </w:tcPr>
          <w:p w14:paraId="50F09C0B"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Incentivos fiscales y tributarios</w:t>
            </w:r>
          </w:p>
        </w:tc>
      </w:tr>
      <w:tr w:rsidR="00C40F26" w:rsidRPr="00C40F26" w14:paraId="5BABDCEF"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6598EA30"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365D2195"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2DDE2B6B"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Marco legal de pago por bienes y servicios ecosistemicos</w:t>
            </w:r>
          </w:p>
        </w:tc>
      </w:tr>
      <w:tr w:rsidR="00C40F26" w:rsidRPr="00C40F26" w14:paraId="1110B32F"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6B47B3A8"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38C43762"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5A8D6E1C"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Compensaciones por pasivos ambientales</w:t>
            </w:r>
          </w:p>
        </w:tc>
      </w:tr>
      <w:tr w:rsidR="00C40F26" w:rsidRPr="00C40F26" w14:paraId="6B4C75F5"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48B6BD75"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258F11DD"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7CAD1563"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Redirecion de impuestos</w:t>
            </w:r>
          </w:p>
        </w:tc>
      </w:tr>
      <w:tr w:rsidR="00C40F26" w:rsidRPr="00C40F26" w14:paraId="149C497A"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6F562AA4"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val="restart"/>
            <w:tcBorders>
              <w:top w:val="nil"/>
              <w:left w:val="single" w:sz="4" w:space="0" w:color="4F81BD"/>
              <w:bottom w:val="single" w:sz="4" w:space="0" w:color="4F81BD"/>
              <w:right w:val="single" w:sz="4" w:space="0" w:color="4F81BD"/>
            </w:tcBorders>
            <w:shd w:val="clear" w:color="auto" w:fill="auto"/>
            <w:vAlign w:val="center"/>
            <w:hideMark/>
          </w:tcPr>
          <w:p w14:paraId="57AED27C"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Compartir beneficios</w:t>
            </w:r>
          </w:p>
        </w:tc>
        <w:tc>
          <w:tcPr>
            <w:tcW w:w="2882" w:type="pct"/>
            <w:tcBorders>
              <w:top w:val="nil"/>
              <w:left w:val="nil"/>
              <w:bottom w:val="single" w:sz="4" w:space="0" w:color="4F81BD"/>
              <w:right w:val="single" w:sz="4" w:space="0" w:color="4F81BD"/>
            </w:tcBorders>
            <w:shd w:val="clear" w:color="auto" w:fill="auto"/>
            <w:noWrap/>
            <w:vAlign w:val="bottom"/>
            <w:hideMark/>
          </w:tcPr>
          <w:p w14:paraId="68CDB117"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Programas sociales y capacitaciones</w:t>
            </w:r>
          </w:p>
        </w:tc>
      </w:tr>
      <w:tr w:rsidR="00C40F26" w:rsidRPr="00C40F26" w14:paraId="3D002506"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4ABB9AF2"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1A3416A6"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5B55A4E3"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Educacion y sensibilizacion ambiental</w:t>
            </w:r>
          </w:p>
        </w:tc>
      </w:tr>
      <w:tr w:rsidR="00C40F26" w:rsidRPr="00C40F26" w14:paraId="708F1A33"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49993836"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160E5213"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3E6F704E"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Valoracion de bienes y servicios ecosistemicos</w:t>
            </w:r>
          </w:p>
        </w:tc>
      </w:tr>
      <w:tr w:rsidR="00C40F26" w:rsidRPr="00C40F26" w14:paraId="080849E8"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3CED19A7"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6EFDF0B6"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1F08562D"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Programas para fortalecer a la comunidad local</w:t>
            </w:r>
          </w:p>
        </w:tc>
      </w:tr>
      <w:tr w:rsidR="00C40F26" w:rsidRPr="00C40F26" w14:paraId="7A0CC84C"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410807FF"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6C279CBF"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46B546CB"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Accesso a financiamiento enfocado en aspectos sociales</w:t>
            </w:r>
          </w:p>
        </w:tc>
      </w:tr>
      <w:tr w:rsidR="00C40F26" w:rsidRPr="00C40F26" w14:paraId="4E18CF12"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576D0A76"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val="restart"/>
            <w:tcBorders>
              <w:top w:val="nil"/>
              <w:left w:val="single" w:sz="4" w:space="0" w:color="4F81BD"/>
              <w:bottom w:val="single" w:sz="4" w:space="0" w:color="4F81BD"/>
              <w:right w:val="single" w:sz="4" w:space="0" w:color="4F81BD"/>
            </w:tcBorders>
            <w:shd w:val="clear" w:color="auto" w:fill="auto"/>
            <w:vAlign w:val="center"/>
            <w:hideMark/>
          </w:tcPr>
          <w:p w14:paraId="0D373EA4"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Compartir y/o Reducir Costos</w:t>
            </w:r>
          </w:p>
        </w:tc>
        <w:tc>
          <w:tcPr>
            <w:tcW w:w="2882" w:type="pct"/>
            <w:tcBorders>
              <w:top w:val="nil"/>
              <w:left w:val="nil"/>
              <w:bottom w:val="single" w:sz="4" w:space="0" w:color="4F81BD"/>
              <w:right w:val="single" w:sz="4" w:space="0" w:color="4F81BD"/>
            </w:tcBorders>
            <w:shd w:val="clear" w:color="auto" w:fill="auto"/>
            <w:noWrap/>
            <w:vAlign w:val="bottom"/>
            <w:hideMark/>
          </w:tcPr>
          <w:p w14:paraId="1B6AD107"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Esquemas de manejo participativo y co-manejo</w:t>
            </w:r>
          </w:p>
        </w:tc>
      </w:tr>
      <w:tr w:rsidR="00C40F26" w:rsidRPr="00C40F26" w14:paraId="6B7ACD37"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8CCC7C6"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5318AF6D"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750EC0C9"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Convenios y contratos de administracion</w:t>
            </w:r>
          </w:p>
        </w:tc>
      </w:tr>
      <w:tr w:rsidR="00C40F26" w:rsidRPr="00C40F26" w14:paraId="3D6674C4"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611FA353"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15C99A2C"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722C367D"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Delegación de competencias y responsabilidades especificas</w:t>
            </w:r>
          </w:p>
        </w:tc>
      </w:tr>
      <w:tr w:rsidR="00C40F26" w:rsidRPr="00C40F26" w14:paraId="033D1339"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1E9A5BEC"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22C5229C"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7FCD8526"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Programas participativos</w:t>
            </w:r>
          </w:p>
        </w:tc>
      </w:tr>
      <w:tr w:rsidR="00C40F26" w:rsidRPr="00C40F26" w14:paraId="6E6B8F41"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59172076"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674535E5"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653179AA"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Áreas de conservación privada</w:t>
            </w:r>
          </w:p>
        </w:tc>
      </w:tr>
      <w:tr w:rsidR="00C40F26" w:rsidRPr="00C40F26" w14:paraId="1712127A"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F639CA9"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val="restart"/>
            <w:tcBorders>
              <w:top w:val="nil"/>
              <w:left w:val="single" w:sz="4" w:space="0" w:color="4F81BD"/>
              <w:bottom w:val="single" w:sz="8" w:space="0" w:color="4F81BD"/>
              <w:right w:val="single" w:sz="4" w:space="0" w:color="4F81BD"/>
            </w:tcBorders>
            <w:shd w:val="clear" w:color="auto" w:fill="auto"/>
            <w:vAlign w:val="center"/>
            <w:hideMark/>
          </w:tcPr>
          <w:p w14:paraId="1B7DD68A"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Fondos de Inversión y Crédito a Iniciativas/Emprendimientos</w:t>
            </w:r>
          </w:p>
        </w:tc>
        <w:tc>
          <w:tcPr>
            <w:tcW w:w="2882" w:type="pct"/>
            <w:tcBorders>
              <w:top w:val="nil"/>
              <w:left w:val="nil"/>
              <w:bottom w:val="single" w:sz="4" w:space="0" w:color="4F81BD"/>
              <w:right w:val="single" w:sz="4" w:space="0" w:color="4F81BD"/>
            </w:tcBorders>
            <w:shd w:val="clear" w:color="auto" w:fill="auto"/>
            <w:noWrap/>
            <w:vAlign w:val="bottom"/>
            <w:hideMark/>
          </w:tcPr>
          <w:p w14:paraId="459C2920"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Fomento de actividades alternativas económicas sostenibles</w:t>
            </w:r>
          </w:p>
        </w:tc>
      </w:tr>
      <w:tr w:rsidR="00C40F26" w:rsidRPr="00C40F26" w14:paraId="44499262"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B5B8366"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8" w:space="0" w:color="4F81BD"/>
              <w:right w:val="single" w:sz="4" w:space="0" w:color="4F81BD"/>
            </w:tcBorders>
            <w:vAlign w:val="center"/>
            <w:hideMark/>
          </w:tcPr>
          <w:p w14:paraId="70CCB8EB"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8" w:space="0" w:color="4F81BD"/>
              <w:right w:val="single" w:sz="4" w:space="0" w:color="4F81BD"/>
            </w:tcBorders>
            <w:shd w:val="clear" w:color="auto" w:fill="auto"/>
            <w:noWrap/>
            <w:vAlign w:val="bottom"/>
            <w:hideMark/>
          </w:tcPr>
          <w:p w14:paraId="78DEF98B"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Sellos o certificaciones ambientales</w:t>
            </w:r>
          </w:p>
        </w:tc>
      </w:tr>
      <w:tr w:rsidR="00C40F26" w:rsidRPr="00C40F26" w14:paraId="7E053D21" w14:textId="77777777" w:rsidTr="00C40F26">
        <w:trPr>
          <w:trHeight w:val="20"/>
        </w:trPr>
        <w:tc>
          <w:tcPr>
            <w:tcW w:w="897" w:type="pct"/>
            <w:vMerge w:val="restart"/>
            <w:tcBorders>
              <w:top w:val="nil"/>
              <w:left w:val="single" w:sz="8" w:space="0" w:color="4F81BD"/>
              <w:bottom w:val="single" w:sz="8" w:space="0" w:color="4F81BD"/>
              <w:right w:val="single" w:sz="4" w:space="0" w:color="4F81BD"/>
            </w:tcBorders>
            <w:shd w:val="clear" w:color="000000" w:fill="DCE6F1"/>
            <w:vAlign w:val="center"/>
            <w:hideMark/>
          </w:tcPr>
          <w:p w14:paraId="55818F9E" w14:textId="77777777" w:rsidR="003C2780" w:rsidRPr="00C40F26" w:rsidRDefault="003C2780" w:rsidP="003C2780">
            <w:pPr>
              <w:spacing w:after="0" w:line="240" w:lineRule="auto"/>
              <w:jc w:val="center"/>
              <w:rPr>
                <w:rFonts w:eastAsia="Times New Roman" w:cs="Arial"/>
                <w:color w:val="000000"/>
                <w:sz w:val="16"/>
                <w:szCs w:val="16"/>
                <w:lang w:val="es-PE" w:eastAsia="es-ES"/>
              </w:rPr>
            </w:pPr>
            <w:r w:rsidRPr="00C40F26">
              <w:rPr>
                <w:rFonts w:eastAsia="Times New Roman" w:cs="Arial"/>
                <w:color w:val="000000"/>
                <w:sz w:val="16"/>
                <w:szCs w:val="16"/>
                <w:lang w:val="es-PE" w:eastAsia="es-ES"/>
              </w:rPr>
              <w:t>Recursos autogenerados basados en el mercado</w:t>
            </w:r>
          </w:p>
        </w:tc>
        <w:tc>
          <w:tcPr>
            <w:tcW w:w="1221" w:type="pct"/>
            <w:vMerge w:val="restart"/>
            <w:tcBorders>
              <w:top w:val="nil"/>
              <w:left w:val="single" w:sz="4" w:space="0" w:color="4F81BD"/>
              <w:bottom w:val="single" w:sz="4" w:space="0" w:color="4F81BD"/>
              <w:right w:val="single" w:sz="4" w:space="0" w:color="4F81BD"/>
            </w:tcBorders>
            <w:shd w:val="clear" w:color="auto" w:fill="auto"/>
            <w:vAlign w:val="center"/>
            <w:hideMark/>
          </w:tcPr>
          <w:p w14:paraId="666F8E51"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Cargos por Turismo</w:t>
            </w:r>
          </w:p>
        </w:tc>
        <w:tc>
          <w:tcPr>
            <w:tcW w:w="2882" w:type="pct"/>
            <w:tcBorders>
              <w:top w:val="nil"/>
              <w:left w:val="nil"/>
              <w:bottom w:val="single" w:sz="4" w:space="0" w:color="4F81BD"/>
              <w:right w:val="single" w:sz="4" w:space="0" w:color="4F81BD"/>
            </w:tcBorders>
            <w:shd w:val="clear" w:color="auto" w:fill="auto"/>
            <w:noWrap/>
            <w:vAlign w:val="bottom"/>
            <w:hideMark/>
          </w:tcPr>
          <w:p w14:paraId="60B3A52C"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Tickets</w:t>
            </w:r>
          </w:p>
        </w:tc>
      </w:tr>
      <w:tr w:rsidR="00C40F26" w:rsidRPr="00C40F26" w14:paraId="5011BE8D"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A071C64"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6DD8F67A"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37749178"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Membresías</w:t>
            </w:r>
          </w:p>
        </w:tc>
      </w:tr>
      <w:tr w:rsidR="00C40F26" w:rsidRPr="00C40F26" w14:paraId="30D9E151"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53C7F705"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395C65D1"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28BAC517"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Souvenirs</w:t>
            </w:r>
          </w:p>
        </w:tc>
      </w:tr>
      <w:tr w:rsidR="00C40F26" w:rsidRPr="00C40F26" w14:paraId="7A0B51C8"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31A5AB5B"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3BAB8E1D"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3F77B006"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Cargos por investigación y filmación</w:t>
            </w:r>
          </w:p>
        </w:tc>
      </w:tr>
      <w:tr w:rsidR="00C40F26" w:rsidRPr="00C40F26" w14:paraId="4E04C537"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1F4D5394"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748C1A39"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3DD6E528"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Derecho de tránsito</w:t>
            </w:r>
          </w:p>
        </w:tc>
      </w:tr>
      <w:tr w:rsidR="00C40F26" w:rsidRPr="00C40F26" w14:paraId="1B20E1F2"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80EB7CF"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val="restart"/>
            <w:tcBorders>
              <w:top w:val="nil"/>
              <w:left w:val="single" w:sz="4" w:space="0" w:color="4F81BD"/>
              <w:bottom w:val="single" w:sz="4" w:space="0" w:color="4F81BD"/>
              <w:right w:val="single" w:sz="4" w:space="0" w:color="4F81BD"/>
            </w:tcBorders>
            <w:shd w:val="clear" w:color="auto" w:fill="auto"/>
            <w:vAlign w:val="center"/>
            <w:hideMark/>
          </w:tcPr>
          <w:p w14:paraId="57AE3818"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Tarifas de uso de recursos</w:t>
            </w:r>
          </w:p>
        </w:tc>
        <w:tc>
          <w:tcPr>
            <w:tcW w:w="2882" w:type="pct"/>
            <w:tcBorders>
              <w:top w:val="nil"/>
              <w:left w:val="nil"/>
              <w:bottom w:val="single" w:sz="4" w:space="0" w:color="4F81BD"/>
              <w:right w:val="single" w:sz="4" w:space="0" w:color="4F81BD"/>
            </w:tcBorders>
            <w:shd w:val="clear" w:color="auto" w:fill="auto"/>
            <w:noWrap/>
            <w:vAlign w:val="bottom"/>
            <w:hideMark/>
          </w:tcPr>
          <w:p w14:paraId="51AADDE3"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Recursos hidrobiológicos</w:t>
            </w:r>
          </w:p>
        </w:tc>
      </w:tr>
      <w:tr w:rsidR="00C40F26" w:rsidRPr="00C40F26" w14:paraId="15C1324D"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5788BCB5"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vMerge/>
            <w:tcBorders>
              <w:top w:val="nil"/>
              <w:left w:val="single" w:sz="4" w:space="0" w:color="4F81BD"/>
              <w:bottom w:val="single" w:sz="4" w:space="0" w:color="4F81BD"/>
              <w:right w:val="single" w:sz="4" w:space="0" w:color="4F81BD"/>
            </w:tcBorders>
            <w:vAlign w:val="center"/>
            <w:hideMark/>
          </w:tcPr>
          <w:p w14:paraId="33BC43A5"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2882" w:type="pct"/>
            <w:tcBorders>
              <w:top w:val="nil"/>
              <w:left w:val="nil"/>
              <w:bottom w:val="single" w:sz="4" w:space="0" w:color="4F81BD"/>
              <w:right w:val="single" w:sz="4" w:space="0" w:color="4F81BD"/>
            </w:tcBorders>
            <w:shd w:val="clear" w:color="auto" w:fill="auto"/>
            <w:noWrap/>
            <w:vAlign w:val="bottom"/>
            <w:hideMark/>
          </w:tcPr>
          <w:p w14:paraId="587BED40"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Guano</w:t>
            </w:r>
          </w:p>
        </w:tc>
      </w:tr>
      <w:tr w:rsidR="00C40F26" w:rsidRPr="00C40F26" w14:paraId="7293726C" w14:textId="77777777" w:rsidTr="00C40F26">
        <w:trPr>
          <w:trHeight w:val="20"/>
        </w:trPr>
        <w:tc>
          <w:tcPr>
            <w:tcW w:w="897" w:type="pct"/>
            <w:vMerge/>
            <w:tcBorders>
              <w:top w:val="nil"/>
              <w:left w:val="single" w:sz="8" w:space="0" w:color="4F81BD"/>
              <w:bottom w:val="single" w:sz="8" w:space="0" w:color="4F81BD"/>
              <w:right w:val="single" w:sz="4" w:space="0" w:color="4F81BD"/>
            </w:tcBorders>
            <w:vAlign w:val="center"/>
            <w:hideMark/>
          </w:tcPr>
          <w:p w14:paraId="2FB36833" w14:textId="77777777" w:rsidR="003C2780" w:rsidRPr="00C40F26" w:rsidRDefault="003C2780" w:rsidP="003C2780">
            <w:pPr>
              <w:spacing w:after="0" w:line="240" w:lineRule="auto"/>
              <w:jc w:val="left"/>
              <w:rPr>
                <w:rFonts w:eastAsia="Times New Roman" w:cs="Arial"/>
                <w:color w:val="000000"/>
                <w:sz w:val="16"/>
                <w:szCs w:val="16"/>
                <w:lang w:val="es-PE" w:eastAsia="es-ES"/>
              </w:rPr>
            </w:pPr>
          </w:p>
        </w:tc>
        <w:tc>
          <w:tcPr>
            <w:tcW w:w="1221" w:type="pct"/>
            <w:tcBorders>
              <w:top w:val="nil"/>
              <w:left w:val="nil"/>
              <w:bottom w:val="single" w:sz="8" w:space="0" w:color="4F81BD"/>
              <w:right w:val="single" w:sz="4" w:space="0" w:color="4F81BD"/>
            </w:tcBorders>
            <w:shd w:val="clear" w:color="auto" w:fill="auto"/>
            <w:noWrap/>
            <w:vAlign w:val="center"/>
            <w:hideMark/>
          </w:tcPr>
          <w:p w14:paraId="10B13729"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Bioprospección</w:t>
            </w:r>
          </w:p>
        </w:tc>
        <w:tc>
          <w:tcPr>
            <w:tcW w:w="2882" w:type="pct"/>
            <w:tcBorders>
              <w:top w:val="nil"/>
              <w:left w:val="nil"/>
              <w:bottom w:val="single" w:sz="8" w:space="0" w:color="4F81BD"/>
              <w:right w:val="single" w:sz="4" w:space="0" w:color="4F81BD"/>
            </w:tcBorders>
            <w:shd w:val="clear" w:color="auto" w:fill="auto"/>
            <w:noWrap/>
            <w:vAlign w:val="bottom"/>
            <w:hideMark/>
          </w:tcPr>
          <w:p w14:paraId="799DD012" w14:textId="77777777" w:rsidR="003C2780" w:rsidRPr="00C40F26" w:rsidRDefault="003C2780" w:rsidP="003C2780">
            <w:pPr>
              <w:spacing w:after="0" w:line="240" w:lineRule="auto"/>
              <w:jc w:val="left"/>
              <w:rPr>
                <w:rFonts w:eastAsia="Times New Roman" w:cs="Arial"/>
                <w:color w:val="000000"/>
                <w:sz w:val="16"/>
                <w:szCs w:val="16"/>
                <w:lang w:val="es-PE" w:eastAsia="es-ES"/>
              </w:rPr>
            </w:pPr>
            <w:r w:rsidRPr="00C40F26">
              <w:rPr>
                <w:rFonts w:eastAsia="Times New Roman" w:cs="Arial"/>
                <w:color w:val="000000"/>
                <w:sz w:val="16"/>
                <w:szCs w:val="16"/>
                <w:lang w:val="es-PE" w:eastAsia="es-ES"/>
              </w:rPr>
              <w:t> </w:t>
            </w:r>
          </w:p>
        </w:tc>
      </w:tr>
    </w:tbl>
    <w:p w14:paraId="520A18FA" w14:textId="77777777" w:rsidR="00A328DB" w:rsidRDefault="00A328DB"/>
    <w:sectPr w:rsidR="00A328DB" w:rsidSect="00A328DB">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E9CAF" w14:textId="77777777" w:rsidR="00DF3A8E" w:rsidRDefault="00DF3A8E" w:rsidP="00547565">
      <w:pPr>
        <w:spacing w:after="0" w:line="240" w:lineRule="auto"/>
      </w:pPr>
      <w:r>
        <w:separator/>
      </w:r>
    </w:p>
  </w:endnote>
  <w:endnote w:type="continuationSeparator" w:id="0">
    <w:p w14:paraId="3EBA45BD" w14:textId="77777777" w:rsidR="00DF3A8E" w:rsidRDefault="00DF3A8E" w:rsidP="0054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106FC" w14:textId="77777777" w:rsidR="00DF3A8E" w:rsidRDefault="00DF3A8E" w:rsidP="00547565">
      <w:pPr>
        <w:spacing w:after="0" w:line="240" w:lineRule="auto"/>
      </w:pPr>
      <w:r>
        <w:separator/>
      </w:r>
    </w:p>
  </w:footnote>
  <w:footnote w:type="continuationSeparator" w:id="0">
    <w:p w14:paraId="2D520529" w14:textId="77777777" w:rsidR="00DF3A8E" w:rsidRDefault="00DF3A8E" w:rsidP="00547565">
      <w:pPr>
        <w:spacing w:after="0" w:line="240" w:lineRule="auto"/>
      </w:pPr>
      <w:r>
        <w:continuationSeparator/>
      </w:r>
    </w:p>
  </w:footnote>
  <w:footnote w:id="1">
    <w:p w14:paraId="7B63E0C3" w14:textId="77777777" w:rsidR="00133323" w:rsidRPr="005401D8" w:rsidRDefault="00133323" w:rsidP="00547565">
      <w:pPr>
        <w:pStyle w:val="Textonotapie"/>
        <w:ind w:left="284" w:hanging="284"/>
        <w:rPr>
          <w:sz w:val="16"/>
          <w:szCs w:val="16"/>
        </w:rPr>
      </w:pPr>
      <w:r w:rsidRPr="005401D8">
        <w:rPr>
          <w:rStyle w:val="Refdenotaalpie"/>
          <w:sz w:val="16"/>
          <w:szCs w:val="16"/>
        </w:rPr>
        <w:footnoteRef/>
      </w:r>
      <w:r w:rsidRPr="005401D8">
        <w:rPr>
          <w:sz w:val="16"/>
          <w:szCs w:val="16"/>
        </w:rPr>
        <w:t xml:space="preserve"> </w:t>
      </w:r>
      <w:r w:rsidRPr="005401D8">
        <w:rPr>
          <w:sz w:val="16"/>
          <w:szCs w:val="16"/>
        </w:rPr>
        <w:tab/>
        <w:t>Esta información corresponde al Artículo 3 de la Directiva No 001-2015-EF/50.01.</w:t>
      </w:r>
    </w:p>
  </w:footnote>
  <w:footnote w:id="2">
    <w:p w14:paraId="4E70A49F" w14:textId="77777777" w:rsidR="00133323" w:rsidRPr="005401D8" w:rsidRDefault="00133323" w:rsidP="001D62F0">
      <w:pPr>
        <w:pStyle w:val="Textonotapie"/>
        <w:ind w:left="284" w:hanging="284"/>
        <w:rPr>
          <w:rFonts w:cs="Arial"/>
          <w:sz w:val="16"/>
          <w:szCs w:val="16"/>
        </w:rPr>
      </w:pPr>
      <w:r w:rsidRPr="005401D8">
        <w:rPr>
          <w:rStyle w:val="Refdenotaalpie"/>
          <w:rFonts w:cs="Arial"/>
          <w:sz w:val="16"/>
          <w:szCs w:val="16"/>
        </w:rPr>
        <w:footnoteRef/>
      </w:r>
      <w:r w:rsidRPr="005401D8">
        <w:rPr>
          <w:rFonts w:cs="Arial"/>
          <w:sz w:val="16"/>
          <w:szCs w:val="16"/>
        </w:rPr>
        <w:t xml:space="preserve"> </w:t>
      </w:r>
      <w:r w:rsidRPr="005401D8">
        <w:rPr>
          <w:rFonts w:cs="Arial"/>
          <w:sz w:val="16"/>
          <w:szCs w:val="16"/>
        </w:rPr>
        <w:tab/>
        <w:t>En caso que el equipo técnico lo recomiende o los agentes participantes lo consideren necesario debido a la incorporación del enfoque del Presupuesto por Resultados, los objetivos estratégicos podrán ser ajustados basados en resultados.</w:t>
      </w:r>
    </w:p>
  </w:footnote>
  <w:footnote w:id="3">
    <w:p w14:paraId="526843FF" w14:textId="77777777" w:rsidR="00133323" w:rsidRPr="005401D8" w:rsidRDefault="00133323" w:rsidP="001D62F0">
      <w:pPr>
        <w:pStyle w:val="Textonotapie"/>
        <w:ind w:left="284" w:hanging="284"/>
        <w:rPr>
          <w:rFonts w:cs="Arial"/>
          <w:sz w:val="16"/>
          <w:szCs w:val="16"/>
        </w:rPr>
      </w:pPr>
      <w:r w:rsidRPr="005401D8">
        <w:rPr>
          <w:rStyle w:val="Refdenotaalpie"/>
          <w:rFonts w:cs="Arial"/>
          <w:sz w:val="16"/>
          <w:szCs w:val="16"/>
        </w:rPr>
        <w:footnoteRef/>
      </w:r>
      <w:r w:rsidRPr="005401D8">
        <w:rPr>
          <w:rFonts w:cs="Arial"/>
          <w:sz w:val="16"/>
          <w:szCs w:val="16"/>
        </w:rPr>
        <w:t xml:space="preserve"> </w:t>
      </w:r>
      <w:r w:rsidRPr="005401D8">
        <w:rPr>
          <w:rFonts w:cs="Arial"/>
          <w:sz w:val="16"/>
          <w:szCs w:val="16"/>
        </w:rPr>
        <w:tab/>
        <w:t>El cofinanciamiento debe ser orientado por el principio de subsidiariedad, es decir, las transferencias financieras, resultante del cofinanciamiento, deben adecuarse al nivel de gobierno que tiene la competencia y por tanto está en condiciones de brindar la mejor prestación de los servicios del Estado a la comunidad.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E8C"/>
    <w:multiLevelType w:val="hybridMultilevel"/>
    <w:tmpl w:val="4C44614C"/>
    <w:lvl w:ilvl="0" w:tplc="E82EC830">
      <w:start w:val="3"/>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0A02D3E"/>
    <w:multiLevelType w:val="hybridMultilevel"/>
    <w:tmpl w:val="9DF2EDDE"/>
    <w:lvl w:ilvl="0" w:tplc="5A04E0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B93971"/>
    <w:multiLevelType w:val="hybridMultilevel"/>
    <w:tmpl w:val="EBCC94E2"/>
    <w:lvl w:ilvl="0" w:tplc="FF8C45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563007"/>
    <w:multiLevelType w:val="hybridMultilevel"/>
    <w:tmpl w:val="F30A6B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0B03EE"/>
    <w:multiLevelType w:val="hybridMultilevel"/>
    <w:tmpl w:val="DE40EF64"/>
    <w:lvl w:ilvl="0" w:tplc="5A04E0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8D56124"/>
    <w:multiLevelType w:val="hybridMultilevel"/>
    <w:tmpl w:val="EB085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981272B"/>
    <w:multiLevelType w:val="hybridMultilevel"/>
    <w:tmpl w:val="AF9C9642"/>
    <w:lvl w:ilvl="0" w:tplc="FF8C45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67552F"/>
    <w:multiLevelType w:val="hybridMultilevel"/>
    <w:tmpl w:val="4316297E"/>
    <w:lvl w:ilvl="0" w:tplc="5A04E0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205A78"/>
    <w:multiLevelType w:val="hybridMultilevel"/>
    <w:tmpl w:val="F59640D4"/>
    <w:lvl w:ilvl="0" w:tplc="5A04E0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17E1103"/>
    <w:multiLevelType w:val="hybridMultilevel"/>
    <w:tmpl w:val="CBDA2126"/>
    <w:lvl w:ilvl="0" w:tplc="FF8C45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F3E60E1"/>
    <w:multiLevelType w:val="hybridMultilevel"/>
    <w:tmpl w:val="C436CBD4"/>
    <w:lvl w:ilvl="0" w:tplc="5A04E0D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0D55BD7"/>
    <w:multiLevelType w:val="hybridMultilevel"/>
    <w:tmpl w:val="0ABC457A"/>
    <w:lvl w:ilvl="0" w:tplc="5A04E0DE">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3B70A15"/>
    <w:multiLevelType w:val="hybridMultilevel"/>
    <w:tmpl w:val="08C8318E"/>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3">
    <w:nsid w:val="49D41BD5"/>
    <w:multiLevelType w:val="hybridMultilevel"/>
    <w:tmpl w:val="DA8A7558"/>
    <w:lvl w:ilvl="0" w:tplc="480A20C0">
      <w:start w:val="1"/>
      <w:numFmt w:val="bullet"/>
      <w:lvlText w:val="-"/>
      <w:lvlJc w:val="left"/>
      <w:pPr>
        <w:ind w:left="720" w:hanging="360"/>
      </w:pPr>
      <w:rPr>
        <w:rFonts w:ascii="Arial" w:eastAsiaTheme="minorEastAsia"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4EA2541E"/>
    <w:multiLevelType w:val="hybridMultilevel"/>
    <w:tmpl w:val="8B9EAFD6"/>
    <w:lvl w:ilvl="0" w:tplc="0C0A0019">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nsid w:val="4F746D9D"/>
    <w:multiLevelType w:val="hybridMultilevel"/>
    <w:tmpl w:val="4156CB20"/>
    <w:lvl w:ilvl="0" w:tplc="93EC62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50BC064D"/>
    <w:multiLevelType w:val="hybridMultilevel"/>
    <w:tmpl w:val="ACCA30D2"/>
    <w:lvl w:ilvl="0" w:tplc="FF8C45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4A61E4E"/>
    <w:multiLevelType w:val="hybridMultilevel"/>
    <w:tmpl w:val="8B9EAFD6"/>
    <w:lvl w:ilvl="0" w:tplc="0C0A0019">
      <w:start w:val="1"/>
      <w:numFmt w:val="lowerLetter"/>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8">
    <w:nsid w:val="590B3B4D"/>
    <w:multiLevelType w:val="multilevel"/>
    <w:tmpl w:val="B45247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0B84EF9"/>
    <w:multiLevelType w:val="hybridMultilevel"/>
    <w:tmpl w:val="E1FAAE8E"/>
    <w:lvl w:ilvl="0" w:tplc="5A04E0DE">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785E02"/>
    <w:multiLevelType w:val="hybridMultilevel"/>
    <w:tmpl w:val="8BD4B37A"/>
    <w:lvl w:ilvl="0" w:tplc="179C3D0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68D87465"/>
    <w:multiLevelType w:val="hybridMultilevel"/>
    <w:tmpl w:val="140C8E62"/>
    <w:lvl w:ilvl="0" w:tplc="FF8C459E">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
    <w:nsid w:val="6B4E6B2F"/>
    <w:multiLevelType w:val="hybridMultilevel"/>
    <w:tmpl w:val="5F1C3974"/>
    <w:lvl w:ilvl="0" w:tplc="FF8C45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04D0B96"/>
    <w:multiLevelType w:val="hybridMultilevel"/>
    <w:tmpl w:val="601A2590"/>
    <w:lvl w:ilvl="0" w:tplc="FF8C45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7584D2A"/>
    <w:multiLevelType w:val="hybridMultilevel"/>
    <w:tmpl w:val="10F4B9E4"/>
    <w:lvl w:ilvl="0" w:tplc="5A04E0D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7D91D8B"/>
    <w:multiLevelType w:val="hybridMultilevel"/>
    <w:tmpl w:val="3B7C5D0C"/>
    <w:lvl w:ilvl="0" w:tplc="FF8C459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19"/>
  </w:num>
  <w:num w:numId="5">
    <w:abstractNumId w:val="18"/>
  </w:num>
  <w:num w:numId="6">
    <w:abstractNumId w:val="5"/>
  </w:num>
  <w:num w:numId="7">
    <w:abstractNumId w:val="7"/>
  </w:num>
  <w:num w:numId="8">
    <w:abstractNumId w:val="8"/>
  </w:num>
  <w:num w:numId="9">
    <w:abstractNumId w:val="10"/>
  </w:num>
  <w:num w:numId="10">
    <w:abstractNumId w:val="1"/>
  </w:num>
  <w:num w:numId="11">
    <w:abstractNumId w:val="15"/>
  </w:num>
  <w:num w:numId="12">
    <w:abstractNumId w:val="20"/>
  </w:num>
  <w:num w:numId="13">
    <w:abstractNumId w:val="24"/>
  </w:num>
  <w:num w:numId="14">
    <w:abstractNumId w:val="9"/>
  </w:num>
  <w:num w:numId="15">
    <w:abstractNumId w:val="6"/>
  </w:num>
  <w:num w:numId="16">
    <w:abstractNumId w:val="16"/>
  </w:num>
  <w:num w:numId="17">
    <w:abstractNumId w:val="2"/>
  </w:num>
  <w:num w:numId="18">
    <w:abstractNumId w:val="25"/>
  </w:num>
  <w:num w:numId="19">
    <w:abstractNumId w:val="0"/>
  </w:num>
  <w:num w:numId="20">
    <w:abstractNumId w:val="23"/>
  </w:num>
  <w:num w:numId="21">
    <w:abstractNumId w:val="21"/>
  </w:num>
  <w:num w:numId="22">
    <w:abstractNumId w:val="22"/>
  </w:num>
  <w:num w:numId="23">
    <w:abstractNumId w:val="17"/>
  </w:num>
  <w:num w:numId="24">
    <w:abstractNumId w:val="14"/>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133323"/>
    <w:rsid w:val="00162080"/>
    <w:rsid w:val="001D62F0"/>
    <w:rsid w:val="00284D89"/>
    <w:rsid w:val="002A05EE"/>
    <w:rsid w:val="003C2780"/>
    <w:rsid w:val="00430EC5"/>
    <w:rsid w:val="00532EE9"/>
    <w:rsid w:val="005401D8"/>
    <w:rsid w:val="00547565"/>
    <w:rsid w:val="0058295A"/>
    <w:rsid w:val="005A746C"/>
    <w:rsid w:val="00600ACB"/>
    <w:rsid w:val="006778F2"/>
    <w:rsid w:val="007F3286"/>
    <w:rsid w:val="00847E44"/>
    <w:rsid w:val="009734F1"/>
    <w:rsid w:val="009809E4"/>
    <w:rsid w:val="0098710A"/>
    <w:rsid w:val="00991496"/>
    <w:rsid w:val="00A27DD6"/>
    <w:rsid w:val="00A328DB"/>
    <w:rsid w:val="00AF7619"/>
    <w:rsid w:val="00B30113"/>
    <w:rsid w:val="00C40F26"/>
    <w:rsid w:val="00DF3A8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9BD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8F2"/>
    <w:pPr>
      <w:spacing w:after="240" w:line="360" w:lineRule="auto"/>
      <w:jc w:val="both"/>
    </w:pPr>
    <w:rPr>
      <w:rFonts w:ascii="Arial" w:hAnsi="Arial"/>
      <w:sz w:val="20"/>
      <w:lang w:eastAsia="ja-JP"/>
    </w:rPr>
  </w:style>
  <w:style w:type="paragraph" w:styleId="Ttulo1">
    <w:name w:val="heading 1"/>
    <w:basedOn w:val="Normal"/>
    <w:next w:val="Normal"/>
    <w:link w:val="Ttulo1Car"/>
    <w:uiPriority w:val="9"/>
    <w:qFormat/>
    <w:rsid w:val="0054756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unhideWhenUsed/>
    <w:qFormat/>
    <w:rsid w:val="00547565"/>
    <w:pPr>
      <w:keepNext/>
      <w:keepLines/>
      <w:spacing w:before="120" w:after="120"/>
      <w:outlineLvl w:val="1"/>
    </w:pPr>
    <w:rPr>
      <w:rFonts w:eastAsiaTheme="majorEastAsia" w:cstheme="majorBidi"/>
      <w:b/>
      <w:bCs/>
      <w:color w:val="1F497D" w:themeColor="text2"/>
      <w:sz w:val="24"/>
      <w:szCs w:val="26"/>
      <w:lang w:eastAsia="es-ES"/>
    </w:rPr>
  </w:style>
  <w:style w:type="paragraph" w:styleId="Ttulo3">
    <w:name w:val="heading 3"/>
    <w:basedOn w:val="Normal"/>
    <w:next w:val="Normal"/>
    <w:link w:val="Ttulo3Car"/>
    <w:uiPriority w:val="9"/>
    <w:semiHidden/>
    <w:unhideWhenUsed/>
    <w:qFormat/>
    <w:rsid w:val="005A74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565"/>
    <w:rPr>
      <w:rFonts w:asciiTheme="majorHAnsi" w:eastAsiaTheme="majorEastAsia" w:hAnsiTheme="majorHAnsi" w:cstheme="majorBidi"/>
      <w:b/>
      <w:bCs/>
      <w:color w:val="345A8A" w:themeColor="accent1" w:themeShade="B5"/>
      <w:sz w:val="32"/>
      <w:szCs w:val="32"/>
      <w:lang w:eastAsia="ja-JP"/>
    </w:rPr>
  </w:style>
  <w:style w:type="character" w:customStyle="1" w:styleId="Ttulo2Car">
    <w:name w:val="Título 2 Car"/>
    <w:basedOn w:val="Fuentedeprrafopredeter"/>
    <w:link w:val="Ttulo2"/>
    <w:uiPriority w:val="9"/>
    <w:rsid w:val="00547565"/>
    <w:rPr>
      <w:rFonts w:ascii="Arial" w:eastAsiaTheme="majorEastAsia" w:hAnsi="Arial" w:cstheme="majorBidi"/>
      <w:b/>
      <w:bCs/>
      <w:color w:val="1F497D" w:themeColor="text2"/>
      <w:szCs w:val="26"/>
    </w:rPr>
  </w:style>
  <w:style w:type="paragraph" w:styleId="Prrafodelista">
    <w:name w:val="List Paragraph"/>
    <w:basedOn w:val="Normal"/>
    <w:uiPriority w:val="34"/>
    <w:qFormat/>
    <w:rsid w:val="00547565"/>
    <w:pPr>
      <w:spacing w:after="60"/>
      <w:ind w:left="720"/>
      <w:contextualSpacing/>
    </w:pPr>
    <w:rPr>
      <w:lang w:eastAsia="es-ES"/>
    </w:rPr>
  </w:style>
  <w:style w:type="table" w:styleId="Cuadrculamedia1-nfasis1">
    <w:name w:val="Medium Grid 1 Accent 1"/>
    <w:basedOn w:val="Tablanormal"/>
    <w:uiPriority w:val="67"/>
    <w:rsid w:val="0054756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notapie">
    <w:name w:val="footnote text"/>
    <w:basedOn w:val="Normal"/>
    <w:link w:val="TextonotapieCar"/>
    <w:uiPriority w:val="99"/>
    <w:unhideWhenUsed/>
    <w:rsid w:val="00547565"/>
    <w:pPr>
      <w:spacing w:after="60"/>
    </w:pPr>
    <w:rPr>
      <w:lang w:eastAsia="es-ES"/>
    </w:rPr>
  </w:style>
  <w:style w:type="character" w:customStyle="1" w:styleId="TextonotapieCar">
    <w:name w:val="Texto nota pie Car"/>
    <w:basedOn w:val="Fuentedeprrafopredeter"/>
    <w:link w:val="Textonotapie"/>
    <w:uiPriority w:val="99"/>
    <w:rsid w:val="00547565"/>
    <w:rPr>
      <w:rFonts w:ascii="Arial" w:hAnsi="Arial"/>
      <w:sz w:val="20"/>
    </w:rPr>
  </w:style>
  <w:style w:type="character" w:styleId="Refdenotaalpie">
    <w:name w:val="footnote reference"/>
    <w:basedOn w:val="Fuentedeprrafopredeter"/>
    <w:uiPriority w:val="99"/>
    <w:unhideWhenUsed/>
    <w:rsid w:val="00547565"/>
    <w:rPr>
      <w:vertAlign w:val="superscript"/>
    </w:rPr>
  </w:style>
  <w:style w:type="paragraph" w:styleId="TtulodeTDC">
    <w:name w:val="TOC Heading"/>
    <w:basedOn w:val="Ttulo1"/>
    <w:next w:val="Normal"/>
    <w:uiPriority w:val="39"/>
    <w:unhideWhenUsed/>
    <w:qFormat/>
    <w:rsid w:val="003C2780"/>
    <w:pPr>
      <w:spacing w:line="276" w:lineRule="auto"/>
      <w:jc w:val="left"/>
      <w:outlineLvl w:val="9"/>
    </w:pPr>
    <w:rPr>
      <w:color w:val="365F91" w:themeColor="accent1" w:themeShade="BF"/>
      <w:sz w:val="28"/>
      <w:szCs w:val="28"/>
      <w:lang w:val="es-PE" w:eastAsia="es-ES"/>
    </w:rPr>
  </w:style>
  <w:style w:type="paragraph" w:styleId="TDC1">
    <w:name w:val="toc 1"/>
    <w:basedOn w:val="Normal"/>
    <w:next w:val="Normal"/>
    <w:autoRedefine/>
    <w:uiPriority w:val="39"/>
    <w:unhideWhenUsed/>
    <w:rsid w:val="003C2780"/>
    <w:pPr>
      <w:spacing w:before="120" w:after="0"/>
      <w:jc w:val="left"/>
    </w:pPr>
    <w:rPr>
      <w:rFonts w:asciiTheme="minorHAnsi" w:hAnsiTheme="minorHAnsi"/>
      <w:b/>
      <w:sz w:val="24"/>
    </w:rPr>
  </w:style>
  <w:style w:type="paragraph" w:styleId="TDC2">
    <w:name w:val="toc 2"/>
    <w:basedOn w:val="Normal"/>
    <w:next w:val="Normal"/>
    <w:autoRedefine/>
    <w:uiPriority w:val="39"/>
    <w:unhideWhenUsed/>
    <w:rsid w:val="003C2780"/>
    <w:pPr>
      <w:spacing w:after="0"/>
      <w:ind w:left="220"/>
      <w:jc w:val="left"/>
    </w:pPr>
    <w:rPr>
      <w:rFonts w:asciiTheme="minorHAnsi" w:hAnsiTheme="minorHAnsi"/>
      <w:b/>
      <w:szCs w:val="22"/>
    </w:rPr>
  </w:style>
  <w:style w:type="paragraph" w:styleId="Textodeglobo">
    <w:name w:val="Balloon Text"/>
    <w:basedOn w:val="Normal"/>
    <w:link w:val="TextodegloboCar"/>
    <w:uiPriority w:val="99"/>
    <w:semiHidden/>
    <w:unhideWhenUsed/>
    <w:rsid w:val="003C278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2780"/>
    <w:rPr>
      <w:rFonts w:ascii="Lucida Grande" w:hAnsi="Lucida Grande" w:cs="Lucida Grande"/>
      <w:sz w:val="18"/>
      <w:szCs w:val="18"/>
      <w:lang w:eastAsia="ja-JP"/>
    </w:rPr>
  </w:style>
  <w:style w:type="paragraph" w:styleId="TDC3">
    <w:name w:val="toc 3"/>
    <w:basedOn w:val="Normal"/>
    <w:next w:val="Normal"/>
    <w:autoRedefine/>
    <w:uiPriority w:val="39"/>
    <w:semiHidden/>
    <w:unhideWhenUsed/>
    <w:rsid w:val="003C2780"/>
    <w:pPr>
      <w:spacing w:after="0"/>
      <w:ind w:left="440"/>
      <w:jc w:val="left"/>
    </w:pPr>
    <w:rPr>
      <w:rFonts w:asciiTheme="minorHAnsi" w:hAnsiTheme="minorHAnsi"/>
      <w:szCs w:val="22"/>
    </w:rPr>
  </w:style>
  <w:style w:type="paragraph" w:styleId="TDC4">
    <w:name w:val="toc 4"/>
    <w:basedOn w:val="Normal"/>
    <w:next w:val="Normal"/>
    <w:autoRedefine/>
    <w:uiPriority w:val="39"/>
    <w:semiHidden/>
    <w:unhideWhenUsed/>
    <w:rsid w:val="003C2780"/>
    <w:pPr>
      <w:spacing w:after="0"/>
      <w:ind w:left="660"/>
      <w:jc w:val="left"/>
    </w:pPr>
    <w:rPr>
      <w:rFonts w:asciiTheme="minorHAnsi" w:hAnsiTheme="minorHAnsi"/>
      <w:szCs w:val="20"/>
    </w:rPr>
  </w:style>
  <w:style w:type="paragraph" w:styleId="TDC5">
    <w:name w:val="toc 5"/>
    <w:basedOn w:val="Normal"/>
    <w:next w:val="Normal"/>
    <w:autoRedefine/>
    <w:uiPriority w:val="39"/>
    <w:semiHidden/>
    <w:unhideWhenUsed/>
    <w:rsid w:val="003C2780"/>
    <w:pPr>
      <w:spacing w:after="0"/>
      <w:ind w:left="880"/>
      <w:jc w:val="left"/>
    </w:pPr>
    <w:rPr>
      <w:rFonts w:asciiTheme="minorHAnsi" w:hAnsiTheme="minorHAnsi"/>
      <w:szCs w:val="20"/>
    </w:rPr>
  </w:style>
  <w:style w:type="paragraph" w:styleId="TDC6">
    <w:name w:val="toc 6"/>
    <w:basedOn w:val="Normal"/>
    <w:next w:val="Normal"/>
    <w:autoRedefine/>
    <w:uiPriority w:val="39"/>
    <w:semiHidden/>
    <w:unhideWhenUsed/>
    <w:rsid w:val="003C2780"/>
    <w:pPr>
      <w:spacing w:after="0"/>
      <w:ind w:left="1100"/>
      <w:jc w:val="left"/>
    </w:pPr>
    <w:rPr>
      <w:rFonts w:asciiTheme="minorHAnsi" w:hAnsiTheme="minorHAnsi"/>
      <w:szCs w:val="20"/>
    </w:rPr>
  </w:style>
  <w:style w:type="paragraph" w:styleId="TDC7">
    <w:name w:val="toc 7"/>
    <w:basedOn w:val="Normal"/>
    <w:next w:val="Normal"/>
    <w:autoRedefine/>
    <w:uiPriority w:val="39"/>
    <w:semiHidden/>
    <w:unhideWhenUsed/>
    <w:rsid w:val="003C2780"/>
    <w:pPr>
      <w:spacing w:after="0"/>
      <w:ind w:left="1320"/>
      <w:jc w:val="left"/>
    </w:pPr>
    <w:rPr>
      <w:rFonts w:asciiTheme="minorHAnsi" w:hAnsiTheme="minorHAnsi"/>
      <w:szCs w:val="20"/>
    </w:rPr>
  </w:style>
  <w:style w:type="paragraph" w:styleId="TDC8">
    <w:name w:val="toc 8"/>
    <w:basedOn w:val="Normal"/>
    <w:next w:val="Normal"/>
    <w:autoRedefine/>
    <w:uiPriority w:val="39"/>
    <w:semiHidden/>
    <w:unhideWhenUsed/>
    <w:rsid w:val="003C2780"/>
    <w:pPr>
      <w:spacing w:after="0"/>
      <w:ind w:left="1540"/>
      <w:jc w:val="left"/>
    </w:pPr>
    <w:rPr>
      <w:rFonts w:asciiTheme="minorHAnsi" w:hAnsiTheme="minorHAnsi"/>
      <w:szCs w:val="20"/>
    </w:rPr>
  </w:style>
  <w:style w:type="paragraph" w:styleId="TDC9">
    <w:name w:val="toc 9"/>
    <w:basedOn w:val="Normal"/>
    <w:next w:val="Normal"/>
    <w:autoRedefine/>
    <w:uiPriority w:val="39"/>
    <w:semiHidden/>
    <w:unhideWhenUsed/>
    <w:rsid w:val="003C2780"/>
    <w:pPr>
      <w:spacing w:after="0"/>
      <w:ind w:left="1760"/>
      <w:jc w:val="left"/>
    </w:pPr>
    <w:rPr>
      <w:rFonts w:asciiTheme="minorHAnsi" w:hAnsiTheme="minorHAnsi"/>
      <w:szCs w:val="20"/>
    </w:rPr>
  </w:style>
  <w:style w:type="character" w:styleId="Refdecomentario">
    <w:name w:val="annotation reference"/>
    <w:basedOn w:val="Fuentedeprrafopredeter"/>
    <w:uiPriority w:val="99"/>
    <w:semiHidden/>
    <w:unhideWhenUsed/>
    <w:rsid w:val="00284D89"/>
    <w:rPr>
      <w:sz w:val="18"/>
      <w:szCs w:val="18"/>
    </w:rPr>
  </w:style>
  <w:style w:type="paragraph" w:styleId="Textocomentario">
    <w:name w:val="annotation text"/>
    <w:basedOn w:val="Normal"/>
    <w:link w:val="TextocomentarioCar"/>
    <w:uiPriority w:val="99"/>
    <w:semiHidden/>
    <w:unhideWhenUsed/>
    <w:rsid w:val="00284D89"/>
    <w:pPr>
      <w:spacing w:before="40" w:after="40"/>
    </w:pPr>
  </w:style>
  <w:style w:type="character" w:customStyle="1" w:styleId="TextocomentarioCar">
    <w:name w:val="Texto comentario Car"/>
    <w:basedOn w:val="Fuentedeprrafopredeter"/>
    <w:link w:val="Textocomentario"/>
    <w:uiPriority w:val="99"/>
    <w:semiHidden/>
    <w:rsid w:val="00284D89"/>
    <w:rPr>
      <w:rFonts w:ascii="Arial" w:hAnsi="Arial"/>
      <w:sz w:val="20"/>
      <w:lang w:eastAsia="ja-JP"/>
    </w:rPr>
  </w:style>
  <w:style w:type="character" w:customStyle="1" w:styleId="Ttulo3Car">
    <w:name w:val="Título 3 Car"/>
    <w:basedOn w:val="Fuentedeprrafopredeter"/>
    <w:link w:val="Ttulo3"/>
    <w:uiPriority w:val="9"/>
    <w:semiHidden/>
    <w:rsid w:val="005A746C"/>
    <w:rPr>
      <w:rFonts w:asciiTheme="majorHAnsi" w:eastAsiaTheme="majorEastAsia" w:hAnsiTheme="majorHAnsi" w:cstheme="majorBidi"/>
      <w:b/>
      <w:bCs/>
      <w:color w:val="4F81BD" w:themeColor="accent1"/>
      <w:sz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8F2"/>
    <w:pPr>
      <w:spacing w:after="240" w:line="360" w:lineRule="auto"/>
      <w:jc w:val="both"/>
    </w:pPr>
    <w:rPr>
      <w:rFonts w:ascii="Arial" w:hAnsi="Arial"/>
      <w:sz w:val="20"/>
      <w:lang w:eastAsia="ja-JP"/>
    </w:rPr>
  </w:style>
  <w:style w:type="paragraph" w:styleId="Ttulo1">
    <w:name w:val="heading 1"/>
    <w:basedOn w:val="Normal"/>
    <w:next w:val="Normal"/>
    <w:link w:val="Ttulo1Car"/>
    <w:uiPriority w:val="9"/>
    <w:qFormat/>
    <w:rsid w:val="0054756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Normal"/>
    <w:link w:val="Ttulo2Car"/>
    <w:uiPriority w:val="9"/>
    <w:unhideWhenUsed/>
    <w:qFormat/>
    <w:rsid w:val="00547565"/>
    <w:pPr>
      <w:keepNext/>
      <w:keepLines/>
      <w:spacing w:before="120" w:after="120"/>
      <w:outlineLvl w:val="1"/>
    </w:pPr>
    <w:rPr>
      <w:rFonts w:eastAsiaTheme="majorEastAsia" w:cstheme="majorBidi"/>
      <w:b/>
      <w:bCs/>
      <w:color w:val="1F497D" w:themeColor="text2"/>
      <w:sz w:val="24"/>
      <w:szCs w:val="26"/>
      <w:lang w:eastAsia="es-ES"/>
    </w:rPr>
  </w:style>
  <w:style w:type="paragraph" w:styleId="Ttulo3">
    <w:name w:val="heading 3"/>
    <w:basedOn w:val="Normal"/>
    <w:next w:val="Normal"/>
    <w:link w:val="Ttulo3Car"/>
    <w:uiPriority w:val="9"/>
    <w:semiHidden/>
    <w:unhideWhenUsed/>
    <w:qFormat/>
    <w:rsid w:val="005A74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565"/>
    <w:rPr>
      <w:rFonts w:asciiTheme="majorHAnsi" w:eastAsiaTheme="majorEastAsia" w:hAnsiTheme="majorHAnsi" w:cstheme="majorBidi"/>
      <w:b/>
      <w:bCs/>
      <w:color w:val="345A8A" w:themeColor="accent1" w:themeShade="B5"/>
      <w:sz w:val="32"/>
      <w:szCs w:val="32"/>
      <w:lang w:eastAsia="ja-JP"/>
    </w:rPr>
  </w:style>
  <w:style w:type="character" w:customStyle="1" w:styleId="Ttulo2Car">
    <w:name w:val="Título 2 Car"/>
    <w:basedOn w:val="Fuentedeprrafopredeter"/>
    <w:link w:val="Ttulo2"/>
    <w:uiPriority w:val="9"/>
    <w:rsid w:val="00547565"/>
    <w:rPr>
      <w:rFonts w:ascii="Arial" w:eastAsiaTheme="majorEastAsia" w:hAnsi="Arial" w:cstheme="majorBidi"/>
      <w:b/>
      <w:bCs/>
      <w:color w:val="1F497D" w:themeColor="text2"/>
      <w:szCs w:val="26"/>
    </w:rPr>
  </w:style>
  <w:style w:type="paragraph" w:styleId="Prrafodelista">
    <w:name w:val="List Paragraph"/>
    <w:basedOn w:val="Normal"/>
    <w:uiPriority w:val="34"/>
    <w:qFormat/>
    <w:rsid w:val="00547565"/>
    <w:pPr>
      <w:spacing w:after="60"/>
      <w:ind w:left="720"/>
      <w:contextualSpacing/>
    </w:pPr>
    <w:rPr>
      <w:lang w:eastAsia="es-ES"/>
    </w:rPr>
  </w:style>
  <w:style w:type="table" w:styleId="Cuadrculamedia1-nfasis1">
    <w:name w:val="Medium Grid 1 Accent 1"/>
    <w:basedOn w:val="Tablanormal"/>
    <w:uiPriority w:val="67"/>
    <w:rsid w:val="0054756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extonotapie">
    <w:name w:val="footnote text"/>
    <w:basedOn w:val="Normal"/>
    <w:link w:val="TextonotapieCar"/>
    <w:uiPriority w:val="99"/>
    <w:unhideWhenUsed/>
    <w:rsid w:val="00547565"/>
    <w:pPr>
      <w:spacing w:after="60"/>
    </w:pPr>
    <w:rPr>
      <w:lang w:eastAsia="es-ES"/>
    </w:rPr>
  </w:style>
  <w:style w:type="character" w:customStyle="1" w:styleId="TextonotapieCar">
    <w:name w:val="Texto nota pie Car"/>
    <w:basedOn w:val="Fuentedeprrafopredeter"/>
    <w:link w:val="Textonotapie"/>
    <w:uiPriority w:val="99"/>
    <w:rsid w:val="00547565"/>
    <w:rPr>
      <w:rFonts w:ascii="Arial" w:hAnsi="Arial"/>
      <w:sz w:val="20"/>
    </w:rPr>
  </w:style>
  <w:style w:type="character" w:styleId="Refdenotaalpie">
    <w:name w:val="footnote reference"/>
    <w:basedOn w:val="Fuentedeprrafopredeter"/>
    <w:uiPriority w:val="99"/>
    <w:unhideWhenUsed/>
    <w:rsid w:val="00547565"/>
    <w:rPr>
      <w:vertAlign w:val="superscript"/>
    </w:rPr>
  </w:style>
  <w:style w:type="paragraph" w:styleId="TtulodeTDC">
    <w:name w:val="TOC Heading"/>
    <w:basedOn w:val="Ttulo1"/>
    <w:next w:val="Normal"/>
    <w:uiPriority w:val="39"/>
    <w:unhideWhenUsed/>
    <w:qFormat/>
    <w:rsid w:val="003C2780"/>
    <w:pPr>
      <w:spacing w:line="276" w:lineRule="auto"/>
      <w:jc w:val="left"/>
      <w:outlineLvl w:val="9"/>
    </w:pPr>
    <w:rPr>
      <w:color w:val="365F91" w:themeColor="accent1" w:themeShade="BF"/>
      <w:sz w:val="28"/>
      <w:szCs w:val="28"/>
      <w:lang w:val="es-PE" w:eastAsia="es-ES"/>
    </w:rPr>
  </w:style>
  <w:style w:type="paragraph" w:styleId="TDC1">
    <w:name w:val="toc 1"/>
    <w:basedOn w:val="Normal"/>
    <w:next w:val="Normal"/>
    <w:autoRedefine/>
    <w:uiPriority w:val="39"/>
    <w:unhideWhenUsed/>
    <w:rsid w:val="003C2780"/>
    <w:pPr>
      <w:spacing w:before="120" w:after="0"/>
      <w:jc w:val="left"/>
    </w:pPr>
    <w:rPr>
      <w:rFonts w:asciiTheme="minorHAnsi" w:hAnsiTheme="minorHAnsi"/>
      <w:b/>
      <w:sz w:val="24"/>
    </w:rPr>
  </w:style>
  <w:style w:type="paragraph" w:styleId="TDC2">
    <w:name w:val="toc 2"/>
    <w:basedOn w:val="Normal"/>
    <w:next w:val="Normal"/>
    <w:autoRedefine/>
    <w:uiPriority w:val="39"/>
    <w:unhideWhenUsed/>
    <w:rsid w:val="003C2780"/>
    <w:pPr>
      <w:spacing w:after="0"/>
      <w:ind w:left="220"/>
      <w:jc w:val="left"/>
    </w:pPr>
    <w:rPr>
      <w:rFonts w:asciiTheme="minorHAnsi" w:hAnsiTheme="minorHAnsi"/>
      <w:b/>
      <w:szCs w:val="22"/>
    </w:rPr>
  </w:style>
  <w:style w:type="paragraph" w:styleId="Textodeglobo">
    <w:name w:val="Balloon Text"/>
    <w:basedOn w:val="Normal"/>
    <w:link w:val="TextodegloboCar"/>
    <w:uiPriority w:val="99"/>
    <w:semiHidden/>
    <w:unhideWhenUsed/>
    <w:rsid w:val="003C2780"/>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2780"/>
    <w:rPr>
      <w:rFonts w:ascii="Lucida Grande" w:hAnsi="Lucida Grande" w:cs="Lucida Grande"/>
      <w:sz w:val="18"/>
      <w:szCs w:val="18"/>
      <w:lang w:eastAsia="ja-JP"/>
    </w:rPr>
  </w:style>
  <w:style w:type="paragraph" w:styleId="TDC3">
    <w:name w:val="toc 3"/>
    <w:basedOn w:val="Normal"/>
    <w:next w:val="Normal"/>
    <w:autoRedefine/>
    <w:uiPriority w:val="39"/>
    <w:semiHidden/>
    <w:unhideWhenUsed/>
    <w:rsid w:val="003C2780"/>
    <w:pPr>
      <w:spacing w:after="0"/>
      <w:ind w:left="440"/>
      <w:jc w:val="left"/>
    </w:pPr>
    <w:rPr>
      <w:rFonts w:asciiTheme="minorHAnsi" w:hAnsiTheme="minorHAnsi"/>
      <w:szCs w:val="22"/>
    </w:rPr>
  </w:style>
  <w:style w:type="paragraph" w:styleId="TDC4">
    <w:name w:val="toc 4"/>
    <w:basedOn w:val="Normal"/>
    <w:next w:val="Normal"/>
    <w:autoRedefine/>
    <w:uiPriority w:val="39"/>
    <w:semiHidden/>
    <w:unhideWhenUsed/>
    <w:rsid w:val="003C2780"/>
    <w:pPr>
      <w:spacing w:after="0"/>
      <w:ind w:left="660"/>
      <w:jc w:val="left"/>
    </w:pPr>
    <w:rPr>
      <w:rFonts w:asciiTheme="minorHAnsi" w:hAnsiTheme="minorHAnsi"/>
      <w:szCs w:val="20"/>
    </w:rPr>
  </w:style>
  <w:style w:type="paragraph" w:styleId="TDC5">
    <w:name w:val="toc 5"/>
    <w:basedOn w:val="Normal"/>
    <w:next w:val="Normal"/>
    <w:autoRedefine/>
    <w:uiPriority w:val="39"/>
    <w:semiHidden/>
    <w:unhideWhenUsed/>
    <w:rsid w:val="003C2780"/>
    <w:pPr>
      <w:spacing w:after="0"/>
      <w:ind w:left="880"/>
      <w:jc w:val="left"/>
    </w:pPr>
    <w:rPr>
      <w:rFonts w:asciiTheme="minorHAnsi" w:hAnsiTheme="minorHAnsi"/>
      <w:szCs w:val="20"/>
    </w:rPr>
  </w:style>
  <w:style w:type="paragraph" w:styleId="TDC6">
    <w:name w:val="toc 6"/>
    <w:basedOn w:val="Normal"/>
    <w:next w:val="Normal"/>
    <w:autoRedefine/>
    <w:uiPriority w:val="39"/>
    <w:semiHidden/>
    <w:unhideWhenUsed/>
    <w:rsid w:val="003C2780"/>
    <w:pPr>
      <w:spacing w:after="0"/>
      <w:ind w:left="1100"/>
      <w:jc w:val="left"/>
    </w:pPr>
    <w:rPr>
      <w:rFonts w:asciiTheme="minorHAnsi" w:hAnsiTheme="minorHAnsi"/>
      <w:szCs w:val="20"/>
    </w:rPr>
  </w:style>
  <w:style w:type="paragraph" w:styleId="TDC7">
    <w:name w:val="toc 7"/>
    <w:basedOn w:val="Normal"/>
    <w:next w:val="Normal"/>
    <w:autoRedefine/>
    <w:uiPriority w:val="39"/>
    <w:semiHidden/>
    <w:unhideWhenUsed/>
    <w:rsid w:val="003C2780"/>
    <w:pPr>
      <w:spacing w:after="0"/>
      <w:ind w:left="1320"/>
      <w:jc w:val="left"/>
    </w:pPr>
    <w:rPr>
      <w:rFonts w:asciiTheme="minorHAnsi" w:hAnsiTheme="minorHAnsi"/>
      <w:szCs w:val="20"/>
    </w:rPr>
  </w:style>
  <w:style w:type="paragraph" w:styleId="TDC8">
    <w:name w:val="toc 8"/>
    <w:basedOn w:val="Normal"/>
    <w:next w:val="Normal"/>
    <w:autoRedefine/>
    <w:uiPriority w:val="39"/>
    <w:semiHidden/>
    <w:unhideWhenUsed/>
    <w:rsid w:val="003C2780"/>
    <w:pPr>
      <w:spacing w:after="0"/>
      <w:ind w:left="1540"/>
      <w:jc w:val="left"/>
    </w:pPr>
    <w:rPr>
      <w:rFonts w:asciiTheme="minorHAnsi" w:hAnsiTheme="minorHAnsi"/>
      <w:szCs w:val="20"/>
    </w:rPr>
  </w:style>
  <w:style w:type="paragraph" w:styleId="TDC9">
    <w:name w:val="toc 9"/>
    <w:basedOn w:val="Normal"/>
    <w:next w:val="Normal"/>
    <w:autoRedefine/>
    <w:uiPriority w:val="39"/>
    <w:semiHidden/>
    <w:unhideWhenUsed/>
    <w:rsid w:val="003C2780"/>
    <w:pPr>
      <w:spacing w:after="0"/>
      <w:ind w:left="1760"/>
      <w:jc w:val="left"/>
    </w:pPr>
    <w:rPr>
      <w:rFonts w:asciiTheme="minorHAnsi" w:hAnsiTheme="minorHAnsi"/>
      <w:szCs w:val="20"/>
    </w:rPr>
  </w:style>
  <w:style w:type="character" w:styleId="Refdecomentario">
    <w:name w:val="annotation reference"/>
    <w:basedOn w:val="Fuentedeprrafopredeter"/>
    <w:uiPriority w:val="99"/>
    <w:semiHidden/>
    <w:unhideWhenUsed/>
    <w:rsid w:val="00284D89"/>
    <w:rPr>
      <w:sz w:val="18"/>
      <w:szCs w:val="18"/>
    </w:rPr>
  </w:style>
  <w:style w:type="paragraph" w:styleId="Textocomentario">
    <w:name w:val="annotation text"/>
    <w:basedOn w:val="Normal"/>
    <w:link w:val="TextocomentarioCar"/>
    <w:uiPriority w:val="99"/>
    <w:semiHidden/>
    <w:unhideWhenUsed/>
    <w:rsid w:val="00284D89"/>
    <w:pPr>
      <w:spacing w:before="40" w:after="40"/>
    </w:pPr>
  </w:style>
  <w:style w:type="character" w:customStyle="1" w:styleId="TextocomentarioCar">
    <w:name w:val="Texto comentario Car"/>
    <w:basedOn w:val="Fuentedeprrafopredeter"/>
    <w:link w:val="Textocomentario"/>
    <w:uiPriority w:val="99"/>
    <w:semiHidden/>
    <w:rsid w:val="00284D89"/>
    <w:rPr>
      <w:rFonts w:ascii="Arial" w:hAnsi="Arial"/>
      <w:sz w:val="20"/>
      <w:lang w:eastAsia="ja-JP"/>
    </w:rPr>
  </w:style>
  <w:style w:type="character" w:customStyle="1" w:styleId="Ttulo3Car">
    <w:name w:val="Título 3 Car"/>
    <w:basedOn w:val="Fuentedeprrafopredeter"/>
    <w:link w:val="Ttulo3"/>
    <w:uiPriority w:val="9"/>
    <w:semiHidden/>
    <w:rsid w:val="005A746C"/>
    <w:rPr>
      <w:rFonts w:asciiTheme="majorHAnsi" w:eastAsiaTheme="majorEastAsia" w:hAnsiTheme="majorHAnsi" w:cstheme="majorBidi"/>
      <w:b/>
      <w:bCs/>
      <w:color w:val="4F81BD" w:themeColor="accent1"/>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095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microsoft.com/office/2007/relationships/hdphoto" Target="media/hdphoto1.wdp"/><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A28A17-095F-184B-8EFC-8AC2E7135C12}" type="doc">
      <dgm:prSet loTypeId="urn:microsoft.com/office/officeart/2005/8/layout/cycle3" loCatId="" qsTypeId="urn:microsoft.com/office/officeart/2005/8/quickstyle/3D3" qsCatId="3D" csTypeId="urn:microsoft.com/office/officeart/2005/8/colors/accent1_5" csCatId="accent1" phldr="1"/>
      <dgm:spPr/>
      <dgm:t>
        <a:bodyPr/>
        <a:lstStyle/>
        <a:p>
          <a:endParaRPr lang="es-ES"/>
        </a:p>
      </dgm:t>
    </dgm:pt>
    <dgm:pt modelId="{A168C662-E95E-8241-9AF9-2BBB7E503780}">
      <dgm:prSet phldrT="[Texto]" custT="1"/>
      <dgm:spPr>
        <a:xfrm>
          <a:off x="1549213" y="53799"/>
          <a:ext cx="1133533" cy="638636"/>
        </a:xfrm>
        <a:solidFill>
          <a:srgbClr val="4F81BD">
            <a:alpha val="90000"/>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s-ES" sz="700" b="1">
              <a:solidFill>
                <a:sysClr val="window" lastClr="FFFFFF"/>
              </a:solidFill>
              <a:latin typeface="Cambria"/>
              <a:ea typeface="+mn-ea"/>
              <a:cs typeface="+mn-cs"/>
            </a:rPr>
            <a:t>Programación</a:t>
          </a:r>
        </a:p>
        <a:p>
          <a:pPr algn="l"/>
          <a:r>
            <a:rPr lang="es-ES" sz="700">
              <a:solidFill>
                <a:sysClr val="window" lastClr="FFFFFF"/>
              </a:solidFill>
              <a:latin typeface="Cambria"/>
              <a:ea typeface="+mn-ea"/>
              <a:cs typeface="+mn-cs"/>
            </a:rPr>
            <a:t>- Definir intervenciones coherentes</a:t>
          </a:r>
        </a:p>
        <a:p>
          <a:pPr algn="l"/>
          <a:r>
            <a:rPr lang="es-ES" sz="700">
              <a:solidFill>
                <a:sysClr val="window" lastClr="FFFFFF"/>
              </a:solidFill>
              <a:latin typeface="Cambria"/>
              <a:ea typeface="+mn-ea"/>
              <a:cs typeface="+mn-cs"/>
            </a:rPr>
            <a:t>- Diseño y programación del PP</a:t>
          </a:r>
        </a:p>
      </dgm:t>
    </dgm:pt>
    <dgm:pt modelId="{8AAF2DA7-CBB4-A14B-9604-79DF4149663D}" type="parTrans" cxnId="{9E64138E-721C-8744-AD8E-F880AE1814A9}">
      <dgm:prSet/>
      <dgm:spPr/>
      <dgm:t>
        <a:bodyPr/>
        <a:lstStyle/>
        <a:p>
          <a:endParaRPr lang="es-ES" sz="700"/>
        </a:p>
      </dgm:t>
    </dgm:pt>
    <dgm:pt modelId="{58E78844-DBAA-6148-AB2A-3F761BED695C}" type="sibTrans" cxnId="{9E64138E-721C-8744-AD8E-F880AE1814A9}">
      <dgm:prSet/>
      <dgm:spPr>
        <a:xfrm>
          <a:off x="435791" y="71267"/>
          <a:ext cx="3360378" cy="3360378"/>
        </a:xfrm>
        <a:solidFill>
          <a:srgbClr val="4F81BD">
            <a:tint val="40000"/>
            <a:hueOff val="0"/>
            <a:satOff val="0"/>
            <a:lumOff val="0"/>
            <a:alphaOff val="0"/>
          </a:srgbClr>
        </a:solidFill>
        <a:ln w="9525" cap="flat" cmpd="sng" algn="ctr">
          <a:solidFill>
            <a:sysClr val="windowText" lastClr="000000">
              <a:hueOff val="0"/>
              <a:satOff val="0"/>
              <a:lumOff val="0"/>
              <a:alphaOff val="0"/>
            </a:sysClr>
          </a:solidFill>
          <a:prstDash val="solid"/>
        </a:ln>
        <a:effectLst/>
        <a:scene3d>
          <a:camera prst="orthographicFront">
            <a:rot lat="0" lon="0" rev="0"/>
          </a:camera>
          <a:lightRig rig="contrasting" dir="t">
            <a:rot lat="0" lon="0" rev="1200000"/>
          </a:lightRig>
        </a:scene3d>
        <a:sp3d z="-300000" prstMaterial="plastic"/>
      </dgm:spPr>
      <dgm:t>
        <a:bodyPr/>
        <a:lstStyle/>
        <a:p>
          <a:endParaRPr lang="es-ES" sz="700"/>
        </a:p>
      </dgm:t>
    </dgm:pt>
    <dgm:pt modelId="{29EF42AB-5248-BA48-AE24-3070987FACB0}">
      <dgm:prSet phldrT="[Texto]" custT="1"/>
      <dgm:spPr>
        <a:xfrm>
          <a:off x="2913484" y="1043976"/>
          <a:ext cx="1130713" cy="638636"/>
        </a:xfrm>
        <a:solidFill>
          <a:srgbClr val="4F81BD">
            <a:alpha val="90000"/>
            <a:hueOff val="0"/>
            <a:satOff val="0"/>
            <a:lumOff val="0"/>
            <a:alphaOff val="-1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s-ES_tradnl" sz="700" b="1">
              <a:solidFill>
                <a:sysClr val="window" lastClr="FFFFFF"/>
              </a:solidFill>
              <a:latin typeface="Cambria"/>
              <a:ea typeface="+mn-ea"/>
              <a:cs typeface="+mn-cs"/>
            </a:rPr>
            <a:t>Formulación</a:t>
          </a:r>
        </a:p>
        <a:p>
          <a:pPr algn="l"/>
          <a:r>
            <a:rPr lang="es-ES_tradnl" sz="700">
              <a:solidFill>
                <a:sysClr val="window" lastClr="FFFFFF"/>
              </a:solidFill>
              <a:latin typeface="Cambria"/>
              <a:ea typeface="+mn-ea"/>
              <a:cs typeface="+mn-cs"/>
            </a:rPr>
            <a:t>- Presupuestar productos y actividades</a:t>
          </a:r>
        </a:p>
        <a:p>
          <a:pPr algn="l"/>
          <a:r>
            <a:rPr lang="es-ES_tradnl" sz="700">
              <a:solidFill>
                <a:sysClr val="window" lastClr="FFFFFF"/>
              </a:solidFill>
              <a:latin typeface="Cambria"/>
              <a:ea typeface="+mn-ea"/>
              <a:cs typeface="+mn-cs"/>
            </a:rPr>
            <a:t>- Formulación y sustentación del PP</a:t>
          </a:r>
          <a:endParaRPr lang="es-ES" sz="700">
            <a:solidFill>
              <a:sysClr val="window" lastClr="FFFFFF"/>
            </a:solidFill>
            <a:latin typeface="Cambria"/>
            <a:ea typeface="+mn-ea"/>
            <a:cs typeface="+mn-cs"/>
          </a:endParaRPr>
        </a:p>
      </dgm:t>
    </dgm:pt>
    <dgm:pt modelId="{8434AC20-7BB5-9F46-9286-4E8B94A11907}" type="parTrans" cxnId="{EF0745C1-B4C6-1242-9A4C-48727CFB9BA9}">
      <dgm:prSet/>
      <dgm:spPr/>
      <dgm:t>
        <a:bodyPr/>
        <a:lstStyle/>
        <a:p>
          <a:endParaRPr lang="es-ES" sz="700"/>
        </a:p>
      </dgm:t>
    </dgm:pt>
    <dgm:pt modelId="{38499200-ADFD-1C4D-9E88-D93BD8609A4A}" type="sibTrans" cxnId="{EF0745C1-B4C6-1242-9A4C-48727CFB9BA9}">
      <dgm:prSet/>
      <dgm:spPr/>
      <dgm:t>
        <a:bodyPr/>
        <a:lstStyle/>
        <a:p>
          <a:endParaRPr lang="es-ES" sz="700"/>
        </a:p>
      </dgm:t>
    </dgm:pt>
    <dgm:pt modelId="{A2ABA6EA-5B60-1F42-870F-53F413F94220}">
      <dgm:prSet phldrT="[Texto]" custT="1"/>
      <dgm:spPr>
        <a:xfrm>
          <a:off x="2364601" y="2646115"/>
          <a:ext cx="1187346" cy="638636"/>
        </a:xfrm>
        <a:solidFill>
          <a:srgbClr val="4F81BD">
            <a:alpha val="90000"/>
            <a:hueOff val="0"/>
            <a:satOff val="0"/>
            <a:lumOff val="0"/>
            <a:alphaOff val="-2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s-ES" sz="700" b="1">
              <a:solidFill>
                <a:sysClr val="window" lastClr="FFFFFF"/>
              </a:solidFill>
              <a:latin typeface="Cambria"/>
              <a:ea typeface="+mn-ea"/>
              <a:cs typeface="+mn-cs"/>
            </a:rPr>
            <a:t>Aprobación</a:t>
          </a:r>
        </a:p>
        <a:p>
          <a:pPr algn="ctr"/>
          <a:r>
            <a:rPr lang="es-ES" sz="700">
              <a:solidFill>
                <a:sysClr val="window" lastClr="FFFFFF"/>
              </a:solidFill>
              <a:latin typeface="Cambria"/>
              <a:ea typeface="+mn-ea"/>
              <a:cs typeface="+mn-cs"/>
            </a:rPr>
            <a:t>Orientar la discusión de prioridades en el Congreso</a:t>
          </a:r>
        </a:p>
      </dgm:t>
    </dgm:pt>
    <dgm:pt modelId="{8D289E33-702A-9040-8736-A810E9840D79}" type="parTrans" cxnId="{2F45CFB0-6C05-4148-BCDF-4C98B0A8DFCC}">
      <dgm:prSet/>
      <dgm:spPr/>
      <dgm:t>
        <a:bodyPr/>
        <a:lstStyle/>
        <a:p>
          <a:endParaRPr lang="es-ES" sz="700"/>
        </a:p>
      </dgm:t>
    </dgm:pt>
    <dgm:pt modelId="{1D5B293D-076C-A140-A09B-AE5884F88CCD}" type="sibTrans" cxnId="{2F45CFB0-6C05-4148-BCDF-4C98B0A8DFCC}">
      <dgm:prSet/>
      <dgm:spPr/>
      <dgm:t>
        <a:bodyPr/>
        <a:lstStyle/>
        <a:p>
          <a:endParaRPr lang="es-ES" sz="700"/>
        </a:p>
      </dgm:t>
    </dgm:pt>
    <dgm:pt modelId="{0954BD48-BAD5-E248-AE74-BC2AE334465C}">
      <dgm:prSet phldrT="[Texto]" custT="1"/>
      <dgm:spPr>
        <a:xfrm>
          <a:off x="733825" y="2646115"/>
          <a:ext cx="1079721" cy="638636"/>
        </a:xfrm>
        <a:solidFill>
          <a:srgbClr val="4F81BD">
            <a:alpha val="90000"/>
            <a:hueOff val="0"/>
            <a:satOff val="0"/>
            <a:lumOff val="0"/>
            <a:alphaOff val="-3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s-ES" sz="700" b="1">
              <a:solidFill>
                <a:sysClr val="window" lastClr="FFFFFF"/>
              </a:solidFill>
              <a:latin typeface="Cambria"/>
              <a:ea typeface="+mn-ea"/>
              <a:cs typeface="+mn-cs"/>
            </a:rPr>
            <a:t>Ejecución</a:t>
          </a:r>
        </a:p>
        <a:p>
          <a:pPr algn="ctr"/>
          <a:r>
            <a:rPr lang="es-ES" sz="700">
              <a:solidFill>
                <a:sysClr val="window" lastClr="FFFFFF"/>
              </a:solidFill>
              <a:latin typeface="Cambria"/>
              <a:ea typeface="+mn-ea"/>
              <a:cs typeface="+mn-cs"/>
            </a:rPr>
            <a:t>Eficiencia Técnica</a:t>
          </a:r>
        </a:p>
        <a:p>
          <a:pPr algn="ctr"/>
          <a:r>
            <a:rPr lang="es-ES" sz="700">
              <a:solidFill>
                <a:sysClr val="window" lastClr="FFFFFF"/>
              </a:solidFill>
              <a:latin typeface="Cambria"/>
              <a:ea typeface="+mn-ea"/>
              <a:cs typeface="+mn-cs"/>
            </a:rPr>
            <a:t>Revisión y seguimiento</a:t>
          </a:r>
        </a:p>
      </dgm:t>
    </dgm:pt>
    <dgm:pt modelId="{3742650C-0510-0642-B1AA-C9CA1FEEE662}" type="parTrans" cxnId="{7F9DE469-8C02-6A4E-AEF6-EEFFE2D126DF}">
      <dgm:prSet/>
      <dgm:spPr/>
      <dgm:t>
        <a:bodyPr/>
        <a:lstStyle/>
        <a:p>
          <a:endParaRPr lang="es-ES" sz="700"/>
        </a:p>
      </dgm:t>
    </dgm:pt>
    <dgm:pt modelId="{22622866-0E9B-0441-9A86-ADE91E31D895}" type="sibTrans" cxnId="{7F9DE469-8C02-6A4E-AEF6-EEFFE2D126DF}">
      <dgm:prSet/>
      <dgm:spPr/>
      <dgm:t>
        <a:bodyPr/>
        <a:lstStyle/>
        <a:p>
          <a:endParaRPr lang="es-ES" sz="700"/>
        </a:p>
      </dgm:t>
    </dgm:pt>
    <dgm:pt modelId="{FACB846F-9BFD-1E45-BDBA-4A23458E6E25}">
      <dgm:prSet phldrT="[Texto]" custT="1"/>
      <dgm:spPr>
        <a:xfrm>
          <a:off x="224271" y="1043976"/>
          <a:ext cx="1057695" cy="638636"/>
        </a:xfrm>
        <a:solidFill>
          <a:srgbClr val="4F81BD">
            <a:alpha val="90000"/>
            <a:hueOff val="0"/>
            <a:satOff val="0"/>
            <a:lumOff val="0"/>
            <a:alphaOff val="-4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lgn="ctr"/>
          <a:r>
            <a:rPr lang="es-ES" sz="700" b="1">
              <a:solidFill>
                <a:sysClr val="window" lastClr="FFFFFF"/>
              </a:solidFill>
              <a:latin typeface="Cambria"/>
              <a:ea typeface="+mn-ea"/>
              <a:cs typeface="+mn-cs"/>
            </a:rPr>
            <a:t>Evaluación</a:t>
          </a:r>
        </a:p>
        <a:p>
          <a:pPr algn="ctr"/>
          <a:r>
            <a:rPr lang="es-ES" sz="700">
              <a:solidFill>
                <a:sysClr val="window" lastClr="FFFFFF"/>
              </a:solidFill>
              <a:latin typeface="Cambria"/>
              <a:ea typeface="+mn-ea"/>
              <a:cs typeface="+mn-cs"/>
            </a:rPr>
            <a:t>Rendición de cuentas</a:t>
          </a:r>
        </a:p>
      </dgm:t>
    </dgm:pt>
    <dgm:pt modelId="{D3EA6D66-A1B6-3F4B-94F6-2277AF9F9E8F}" type="parTrans" cxnId="{C6E362BE-68C6-E448-AB7C-1FB2E016DF4D}">
      <dgm:prSet/>
      <dgm:spPr/>
      <dgm:t>
        <a:bodyPr/>
        <a:lstStyle/>
        <a:p>
          <a:endParaRPr lang="es-ES" sz="700"/>
        </a:p>
      </dgm:t>
    </dgm:pt>
    <dgm:pt modelId="{2C92CB7E-248A-3B4C-BB56-5033AE74DF7A}" type="sibTrans" cxnId="{C6E362BE-68C6-E448-AB7C-1FB2E016DF4D}">
      <dgm:prSet/>
      <dgm:spPr/>
      <dgm:t>
        <a:bodyPr/>
        <a:lstStyle/>
        <a:p>
          <a:endParaRPr lang="es-ES" sz="700"/>
        </a:p>
      </dgm:t>
    </dgm:pt>
    <dgm:pt modelId="{06A192EE-1521-E841-AA6B-A45622E0C95F}" type="pres">
      <dgm:prSet presAssocID="{98A28A17-095F-184B-8EFC-8AC2E7135C12}" presName="Name0" presStyleCnt="0">
        <dgm:presLayoutVars>
          <dgm:dir/>
          <dgm:resizeHandles val="exact"/>
        </dgm:presLayoutVars>
      </dgm:prSet>
      <dgm:spPr/>
      <dgm:t>
        <a:bodyPr/>
        <a:lstStyle/>
        <a:p>
          <a:endParaRPr lang="es-ES"/>
        </a:p>
      </dgm:t>
    </dgm:pt>
    <dgm:pt modelId="{C13FCA4A-4E4A-644D-9BB3-A55809AE685F}" type="pres">
      <dgm:prSet presAssocID="{98A28A17-095F-184B-8EFC-8AC2E7135C12}" presName="cycle" presStyleCnt="0"/>
      <dgm:spPr/>
    </dgm:pt>
    <dgm:pt modelId="{6BFA3AFB-4998-D642-94D9-A232CB7AA99E}" type="pres">
      <dgm:prSet presAssocID="{A168C662-E95E-8241-9AF9-2BBB7E503780}" presName="nodeFirstNode" presStyleLbl="node1" presStyleIdx="0" presStyleCnt="5" custScaleX="75959" custScaleY="85591">
        <dgm:presLayoutVars>
          <dgm:bulletEnabled val="1"/>
        </dgm:presLayoutVars>
      </dgm:prSet>
      <dgm:spPr>
        <a:prstGeom prst="roundRect">
          <a:avLst/>
        </a:prstGeom>
      </dgm:spPr>
      <dgm:t>
        <a:bodyPr/>
        <a:lstStyle/>
        <a:p>
          <a:endParaRPr lang="es-ES"/>
        </a:p>
      </dgm:t>
    </dgm:pt>
    <dgm:pt modelId="{EFDC2C8F-897C-5641-826F-397C284E2704}" type="pres">
      <dgm:prSet presAssocID="{58E78844-DBAA-6148-AB2A-3F761BED695C}" presName="sibTransFirstNode" presStyleLbl="bgShp" presStyleIdx="0" presStyleCnt="1"/>
      <dgm:spPr>
        <a:prstGeom prst="circularArrow">
          <a:avLst>
            <a:gd name="adj1" fmla="val 5544"/>
            <a:gd name="adj2" fmla="val 330680"/>
            <a:gd name="adj3" fmla="val 14397448"/>
            <a:gd name="adj4" fmla="val 17018185"/>
            <a:gd name="adj5" fmla="val 5757"/>
          </a:avLst>
        </a:prstGeom>
      </dgm:spPr>
      <dgm:t>
        <a:bodyPr/>
        <a:lstStyle/>
        <a:p>
          <a:endParaRPr lang="es-ES"/>
        </a:p>
      </dgm:t>
    </dgm:pt>
    <dgm:pt modelId="{08AD83FD-E6F9-1043-831A-96FDF178B7DB}" type="pres">
      <dgm:prSet presAssocID="{29EF42AB-5248-BA48-AE24-3070987FACB0}" presName="nodeFollowingNodes" presStyleLbl="node1" presStyleIdx="1" presStyleCnt="5" custScaleX="75770" custScaleY="85591">
        <dgm:presLayoutVars>
          <dgm:bulletEnabled val="1"/>
        </dgm:presLayoutVars>
      </dgm:prSet>
      <dgm:spPr>
        <a:prstGeom prst="roundRect">
          <a:avLst/>
        </a:prstGeom>
      </dgm:spPr>
      <dgm:t>
        <a:bodyPr/>
        <a:lstStyle/>
        <a:p>
          <a:endParaRPr lang="es-ES"/>
        </a:p>
      </dgm:t>
    </dgm:pt>
    <dgm:pt modelId="{730794D3-1524-C345-9FCD-63ABEBA67B26}" type="pres">
      <dgm:prSet presAssocID="{A2ABA6EA-5B60-1F42-870F-53F413F94220}" presName="nodeFollowingNodes" presStyleLbl="node1" presStyleIdx="2" presStyleCnt="5" custScaleX="79565" custScaleY="85591">
        <dgm:presLayoutVars>
          <dgm:bulletEnabled val="1"/>
        </dgm:presLayoutVars>
      </dgm:prSet>
      <dgm:spPr>
        <a:prstGeom prst="roundRect">
          <a:avLst/>
        </a:prstGeom>
      </dgm:spPr>
      <dgm:t>
        <a:bodyPr/>
        <a:lstStyle/>
        <a:p>
          <a:endParaRPr lang="es-ES"/>
        </a:p>
      </dgm:t>
    </dgm:pt>
    <dgm:pt modelId="{96BB1694-4E74-CE4B-85DC-2CA3D9F63D0A}" type="pres">
      <dgm:prSet presAssocID="{0954BD48-BAD5-E248-AE74-BC2AE334465C}" presName="nodeFollowingNodes" presStyleLbl="node1" presStyleIdx="3" presStyleCnt="5" custScaleX="72353" custScaleY="85591">
        <dgm:presLayoutVars>
          <dgm:bulletEnabled val="1"/>
        </dgm:presLayoutVars>
      </dgm:prSet>
      <dgm:spPr>
        <a:prstGeom prst="roundRect">
          <a:avLst/>
        </a:prstGeom>
      </dgm:spPr>
      <dgm:t>
        <a:bodyPr/>
        <a:lstStyle/>
        <a:p>
          <a:endParaRPr lang="es-ES"/>
        </a:p>
      </dgm:t>
    </dgm:pt>
    <dgm:pt modelId="{B34B5DB4-B535-7E41-8C4E-4E38A6F67DCF}" type="pres">
      <dgm:prSet presAssocID="{FACB846F-9BFD-1E45-BDBA-4A23458E6E25}" presName="nodeFollowingNodes" presStyleLbl="node1" presStyleIdx="4" presStyleCnt="5" custScaleX="70877" custScaleY="85591">
        <dgm:presLayoutVars>
          <dgm:bulletEnabled val="1"/>
        </dgm:presLayoutVars>
      </dgm:prSet>
      <dgm:spPr>
        <a:prstGeom prst="roundRect">
          <a:avLst/>
        </a:prstGeom>
      </dgm:spPr>
      <dgm:t>
        <a:bodyPr/>
        <a:lstStyle/>
        <a:p>
          <a:endParaRPr lang="es-ES"/>
        </a:p>
      </dgm:t>
    </dgm:pt>
  </dgm:ptLst>
  <dgm:cxnLst>
    <dgm:cxn modelId="{2F45CFB0-6C05-4148-BCDF-4C98B0A8DFCC}" srcId="{98A28A17-095F-184B-8EFC-8AC2E7135C12}" destId="{A2ABA6EA-5B60-1F42-870F-53F413F94220}" srcOrd="2" destOrd="0" parTransId="{8D289E33-702A-9040-8736-A810E9840D79}" sibTransId="{1D5B293D-076C-A140-A09B-AE5884F88CCD}"/>
    <dgm:cxn modelId="{C6E362BE-68C6-E448-AB7C-1FB2E016DF4D}" srcId="{98A28A17-095F-184B-8EFC-8AC2E7135C12}" destId="{FACB846F-9BFD-1E45-BDBA-4A23458E6E25}" srcOrd="4" destOrd="0" parTransId="{D3EA6D66-A1B6-3F4B-94F6-2277AF9F9E8F}" sibTransId="{2C92CB7E-248A-3B4C-BB56-5033AE74DF7A}"/>
    <dgm:cxn modelId="{F32D637D-41B7-437F-9B1F-09D5D2B45EE4}" type="presOf" srcId="{FACB846F-9BFD-1E45-BDBA-4A23458E6E25}" destId="{B34B5DB4-B535-7E41-8C4E-4E38A6F67DCF}" srcOrd="0" destOrd="0" presId="urn:microsoft.com/office/officeart/2005/8/layout/cycle3"/>
    <dgm:cxn modelId="{9E64138E-721C-8744-AD8E-F880AE1814A9}" srcId="{98A28A17-095F-184B-8EFC-8AC2E7135C12}" destId="{A168C662-E95E-8241-9AF9-2BBB7E503780}" srcOrd="0" destOrd="0" parTransId="{8AAF2DA7-CBB4-A14B-9604-79DF4149663D}" sibTransId="{58E78844-DBAA-6148-AB2A-3F761BED695C}"/>
    <dgm:cxn modelId="{B19C8CB7-8EDC-42E9-9936-275F54AE37B1}" type="presOf" srcId="{98A28A17-095F-184B-8EFC-8AC2E7135C12}" destId="{06A192EE-1521-E841-AA6B-A45622E0C95F}" srcOrd="0" destOrd="0" presId="urn:microsoft.com/office/officeart/2005/8/layout/cycle3"/>
    <dgm:cxn modelId="{CAC9FA51-3AE9-4799-920B-A34C251D1E5C}" type="presOf" srcId="{0954BD48-BAD5-E248-AE74-BC2AE334465C}" destId="{96BB1694-4E74-CE4B-85DC-2CA3D9F63D0A}" srcOrd="0" destOrd="0" presId="urn:microsoft.com/office/officeart/2005/8/layout/cycle3"/>
    <dgm:cxn modelId="{EF0745C1-B4C6-1242-9A4C-48727CFB9BA9}" srcId="{98A28A17-095F-184B-8EFC-8AC2E7135C12}" destId="{29EF42AB-5248-BA48-AE24-3070987FACB0}" srcOrd="1" destOrd="0" parTransId="{8434AC20-7BB5-9F46-9286-4E8B94A11907}" sibTransId="{38499200-ADFD-1C4D-9E88-D93BD8609A4A}"/>
    <dgm:cxn modelId="{D8C63BD9-1B1B-43F7-B12F-28A204402F48}" type="presOf" srcId="{29EF42AB-5248-BA48-AE24-3070987FACB0}" destId="{08AD83FD-E6F9-1043-831A-96FDF178B7DB}" srcOrd="0" destOrd="0" presId="urn:microsoft.com/office/officeart/2005/8/layout/cycle3"/>
    <dgm:cxn modelId="{5076C547-C349-4409-8A49-EA7C7C0FC1CA}" type="presOf" srcId="{A2ABA6EA-5B60-1F42-870F-53F413F94220}" destId="{730794D3-1524-C345-9FCD-63ABEBA67B26}" srcOrd="0" destOrd="0" presId="urn:microsoft.com/office/officeart/2005/8/layout/cycle3"/>
    <dgm:cxn modelId="{337222B4-C0F3-4000-BAFC-7594E88D822C}" type="presOf" srcId="{A168C662-E95E-8241-9AF9-2BBB7E503780}" destId="{6BFA3AFB-4998-D642-94D9-A232CB7AA99E}" srcOrd="0" destOrd="0" presId="urn:microsoft.com/office/officeart/2005/8/layout/cycle3"/>
    <dgm:cxn modelId="{B3E9F2F1-C68B-4B7E-ABD6-B98046CD2AE4}" type="presOf" srcId="{58E78844-DBAA-6148-AB2A-3F761BED695C}" destId="{EFDC2C8F-897C-5641-826F-397C284E2704}" srcOrd="0" destOrd="0" presId="urn:microsoft.com/office/officeart/2005/8/layout/cycle3"/>
    <dgm:cxn modelId="{7F9DE469-8C02-6A4E-AEF6-EEFFE2D126DF}" srcId="{98A28A17-095F-184B-8EFC-8AC2E7135C12}" destId="{0954BD48-BAD5-E248-AE74-BC2AE334465C}" srcOrd="3" destOrd="0" parTransId="{3742650C-0510-0642-B1AA-C9CA1FEEE662}" sibTransId="{22622866-0E9B-0441-9A86-ADE91E31D895}"/>
    <dgm:cxn modelId="{B8623FD7-2FB5-4A4A-83CD-0A19CFB091CF}" type="presParOf" srcId="{06A192EE-1521-E841-AA6B-A45622E0C95F}" destId="{C13FCA4A-4E4A-644D-9BB3-A55809AE685F}" srcOrd="0" destOrd="0" presId="urn:microsoft.com/office/officeart/2005/8/layout/cycle3"/>
    <dgm:cxn modelId="{2AEDDC42-7CCC-427A-9FA9-C9170BF2AAB6}" type="presParOf" srcId="{C13FCA4A-4E4A-644D-9BB3-A55809AE685F}" destId="{6BFA3AFB-4998-D642-94D9-A232CB7AA99E}" srcOrd="0" destOrd="0" presId="urn:microsoft.com/office/officeart/2005/8/layout/cycle3"/>
    <dgm:cxn modelId="{AC30F1EF-7D92-4E16-8CDA-887D7CB1B514}" type="presParOf" srcId="{C13FCA4A-4E4A-644D-9BB3-A55809AE685F}" destId="{EFDC2C8F-897C-5641-826F-397C284E2704}" srcOrd="1" destOrd="0" presId="urn:microsoft.com/office/officeart/2005/8/layout/cycle3"/>
    <dgm:cxn modelId="{F99312DF-A23D-42EB-9039-C2D117E9C6A2}" type="presParOf" srcId="{C13FCA4A-4E4A-644D-9BB3-A55809AE685F}" destId="{08AD83FD-E6F9-1043-831A-96FDF178B7DB}" srcOrd="2" destOrd="0" presId="urn:microsoft.com/office/officeart/2005/8/layout/cycle3"/>
    <dgm:cxn modelId="{2606D1F6-7A97-4A19-848C-B8893CDB3250}" type="presParOf" srcId="{C13FCA4A-4E4A-644D-9BB3-A55809AE685F}" destId="{730794D3-1524-C345-9FCD-63ABEBA67B26}" srcOrd="3" destOrd="0" presId="urn:microsoft.com/office/officeart/2005/8/layout/cycle3"/>
    <dgm:cxn modelId="{DA0BCF7D-8F0F-45B7-8C22-10E402231C1A}" type="presParOf" srcId="{C13FCA4A-4E4A-644D-9BB3-A55809AE685F}" destId="{96BB1694-4E74-CE4B-85DC-2CA3D9F63D0A}" srcOrd="4" destOrd="0" presId="urn:microsoft.com/office/officeart/2005/8/layout/cycle3"/>
    <dgm:cxn modelId="{83EDD5A1-976E-4DD5-B805-0EBF0BFAF9E2}" type="presParOf" srcId="{C13FCA4A-4E4A-644D-9BB3-A55809AE685F}" destId="{B34B5DB4-B535-7E41-8C4E-4E38A6F67DCF}" srcOrd="5"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DC2C8F-897C-5641-826F-397C284E2704}">
      <dsp:nvSpPr>
        <dsp:cNvPr id="0" name=""/>
        <dsp:cNvSpPr/>
      </dsp:nvSpPr>
      <dsp:spPr>
        <a:xfrm>
          <a:off x="435791" y="71267"/>
          <a:ext cx="3360378" cy="3360378"/>
        </a:xfrm>
        <a:prstGeom prst="circularArrow">
          <a:avLst>
            <a:gd name="adj1" fmla="val 5544"/>
            <a:gd name="adj2" fmla="val 330680"/>
            <a:gd name="adj3" fmla="val 14397448"/>
            <a:gd name="adj4" fmla="val 17018185"/>
            <a:gd name="adj5" fmla="val 5757"/>
          </a:avLst>
        </a:prstGeom>
        <a:solidFill>
          <a:srgbClr val="4F81BD">
            <a:tint val="40000"/>
            <a:hueOff val="0"/>
            <a:satOff val="0"/>
            <a:lumOff val="0"/>
            <a:alphaOff val="0"/>
          </a:srgbClr>
        </a:solidFill>
        <a:ln w="9525" cap="flat" cmpd="sng" algn="ctr">
          <a:solidFill>
            <a:sysClr val="windowText" lastClr="000000">
              <a:hueOff val="0"/>
              <a:satOff val="0"/>
              <a:lumOff val="0"/>
              <a:alphaOff val="0"/>
            </a:sys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6BFA3AFB-4998-D642-94D9-A232CB7AA99E}">
      <dsp:nvSpPr>
        <dsp:cNvPr id="0" name=""/>
        <dsp:cNvSpPr/>
      </dsp:nvSpPr>
      <dsp:spPr>
        <a:xfrm>
          <a:off x="1549213" y="53799"/>
          <a:ext cx="1133533" cy="638636"/>
        </a:xfrm>
        <a:prstGeom prst="roundRect">
          <a:avLst/>
        </a:prstGeom>
        <a:solidFill>
          <a:srgbClr val="4F81BD">
            <a:alpha val="90000"/>
            <a:hueOff val="0"/>
            <a:satOff val="0"/>
            <a:lumOff val="0"/>
            <a:alphaOff val="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b="1" kern="1200">
              <a:solidFill>
                <a:sysClr val="window" lastClr="FFFFFF"/>
              </a:solidFill>
              <a:latin typeface="Cambria"/>
              <a:ea typeface="+mn-ea"/>
              <a:cs typeface="+mn-cs"/>
            </a:rPr>
            <a:t>Programación</a:t>
          </a:r>
        </a:p>
        <a:p>
          <a:pPr lvl="0" algn="l" defTabSz="311150">
            <a:lnSpc>
              <a:spcPct val="90000"/>
            </a:lnSpc>
            <a:spcBef>
              <a:spcPct val="0"/>
            </a:spcBef>
            <a:spcAft>
              <a:spcPct val="35000"/>
            </a:spcAft>
          </a:pPr>
          <a:r>
            <a:rPr lang="es-ES" sz="700" kern="1200">
              <a:solidFill>
                <a:sysClr val="window" lastClr="FFFFFF"/>
              </a:solidFill>
              <a:latin typeface="Cambria"/>
              <a:ea typeface="+mn-ea"/>
              <a:cs typeface="+mn-cs"/>
            </a:rPr>
            <a:t>- Definir intervenciones coherentes</a:t>
          </a:r>
        </a:p>
        <a:p>
          <a:pPr lvl="0" algn="l" defTabSz="311150">
            <a:lnSpc>
              <a:spcPct val="90000"/>
            </a:lnSpc>
            <a:spcBef>
              <a:spcPct val="0"/>
            </a:spcBef>
            <a:spcAft>
              <a:spcPct val="35000"/>
            </a:spcAft>
          </a:pPr>
          <a:r>
            <a:rPr lang="es-ES" sz="700" kern="1200">
              <a:solidFill>
                <a:sysClr val="window" lastClr="FFFFFF"/>
              </a:solidFill>
              <a:latin typeface="Cambria"/>
              <a:ea typeface="+mn-ea"/>
              <a:cs typeface="+mn-cs"/>
            </a:rPr>
            <a:t>- Diseño y programación del PP</a:t>
          </a:r>
        </a:p>
      </dsp:txBody>
      <dsp:txXfrm>
        <a:off x="1580389" y="84975"/>
        <a:ext cx="1071181" cy="576284"/>
      </dsp:txXfrm>
    </dsp:sp>
    <dsp:sp modelId="{08AD83FD-E6F9-1043-831A-96FDF178B7DB}">
      <dsp:nvSpPr>
        <dsp:cNvPr id="0" name=""/>
        <dsp:cNvSpPr/>
      </dsp:nvSpPr>
      <dsp:spPr>
        <a:xfrm>
          <a:off x="2913484" y="1043976"/>
          <a:ext cx="1130713" cy="638636"/>
        </a:xfrm>
        <a:prstGeom prst="roundRect">
          <a:avLst/>
        </a:prstGeom>
        <a:solidFill>
          <a:srgbClr val="4F81BD">
            <a:alpha val="90000"/>
            <a:hueOff val="0"/>
            <a:satOff val="0"/>
            <a:lumOff val="0"/>
            <a:alphaOff val="-1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_tradnl" sz="700" b="1" kern="1200">
              <a:solidFill>
                <a:sysClr val="window" lastClr="FFFFFF"/>
              </a:solidFill>
              <a:latin typeface="Cambria"/>
              <a:ea typeface="+mn-ea"/>
              <a:cs typeface="+mn-cs"/>
            </a:rPr>
            <a:t>Formulación</a:t>
          </a:r>
        </a:p>
        <a:p>
          <a:pPr lvl="0" algn="l" defTabSz="311150">
            <a:lnSpc>
              <a:spcPct val="90000"/>
            </a:lnSpc>
            <a:spcBef>
              <a:spcPct val="0"/>
            </a:spcBef>
            <a:spcAft>
              <a:spcPct val="35000"/>
            </a:spcAft>
          </a:pPr>
          <a:r>
            <a:rPr lang="es-ES_tradnl" sz="700" kern="1200">
              <a:solidFill>
                <a:sysClr val="window" lastClr="FFFFFF"/>
              </a:solidFill>
              <a:latin typeface="Cambria"/>
              <a:ea typeface="+mn-ea"/>
              <a:cs typeface="+mn-cs"/>
            </a:rPr>
            <a:t>- Presupuestar productos y actividades</a:t>
          </a:r>
        </a:p>
        <a:p>
          <a:pPr lvl="0" algn="l" defTabSz="311150">
            <a:lnSpc>
              <a:spcPct val="90000"/>
            </a:lnSpc>
            <a:spcBef>
              <a:spcPct val="0"/>
            </a:spcBef>
            <a:spcAft>
              <a:spcPct val="35000"/>
            </a:spcAft>
          </a:pPr>
          <a:r>
            <a:rPr lang="es-ES_tradnl" sz="700" kern="1200">
              <a:solidFill>
                <a:sysClr val="window" lastClr="FFFFFF"/>
              </a:solidFill>
              <a:latin typeface="Cambria"/>
              <a:ea typeface="+mn-ea"/>
              <a:cs typeface="+mn-cs"/>
            </a:rPr>
            <a:t>- Formulación y sustentación del PP</a:t>
          </a:r>
          <a:endParaRPr lang="es-ES" sz="700" kern="1200">
            <a:solidFill>
              <a:sysClr val="window" lastClr="FFFFFF"/>
            </a:solidFill>
            <a:latin typeface="Cambria"/>
            <a:ea typeface="+mn-ea"/>
            <a:cs typeface="+mn-cs"/>
          </a:endParaRPr>
        </a:p>
      </dsp:txBody>
      <dsp:txXfrm>
        <a:off x="2944660" y="1075152"/>
        <a:ext cx="1068361" cy="576284"/>
      </dsp:txXfrm>
    </dsp:sp>
    <dsp:sp modelId="{730794D3-1524-C345-9FCD-63ABEBA67B26}">
      <dsp:nvSpPr>
        <dsp:cNvPr id="0" name=""/>
        <dsp:cNvSpPr/>
      </dsp:nvSpPr>
      <dsp:spPr>
        <a:xfrm>
          <a:off x="2364601" y="2646115"/>
          <a:ext cx="1187346" cy="638636"/>
        </a:xfrm>
        <a:prstGeom prst="roundRect">
          <a:avLst/>
        </a:prstGeom>
        <a:solidFill>
          <a:srgbClr val="4F81BD">
            <a:alpha val="90000"/>
            <a:hueOff val="0"/>
            <a:satOff val="0"/>
            <a:lumOff val="0"/>
            <a:alphaOff val="-2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b="1" kern="1200">
              <a:solidFill>
                <a:sysClr val="window" lastClr="FFFFFF"/>
              </a:solidFill>
              <a:latin typeface="Cambria"/>
              <a:ea typeface="+mn-ea"/>
              <a:cs typeface="+mn-cs"/>
            </a:rPr>
            <a:t>Aprobación</a:t>
          </a:r>
        </a:p>
        <a:p>
          <a:pPr lvl="0" algn="ctr" defTabSz="311150">
            <a:lnSpc>
              <a:spcPct val="90000"/>
            </a:lnSpc>
            <a:spcBef>
              <a:spcPct val="0"/>
            </a:spcBef>
            <a:spcAft>
              <a:spcPct val="35000"/>
            </a:spcAft>
          </a:pPr>
          <a:r>
            <a:rPr lang="es-ES" sz="700" kern="1200">
              <a:solidFill>
                <a:sysClr val="window" lastClr="FFFFFF"/>
              </a:solidFill>
              <a:latin typeface="Cambria"/>
              <a:ea typeface="+mn-ea"/>
              <a:cs typeface="+mn-cs"/>
            </a:rPr>
            <a:t>Orientar la discusión de prioridades en el Congreso</a:t>
          </a:r>
        </a:p>
      </dsp:txBody>
      <dsp:txXfrm>
        <a:off x="2395777" y="2677291"/>
        <a:ext cx="1124994" cy="576284"/>
      </dsp:txXfrm>
    </dsp:sp>
    <dsp:sp modelId="{96BB1694-4E74-CE4B-85DC-2CA3D9F63D0A}">
      <dsp:nvSpPr>
        <dsp:cNvPr id="0" name=""/>
        <dsp:cNvSpPr/>
      </dsp:nvSpPr>
      <dsp:spPr>
        <a:xfrm>
          <a:off x="733825" y="2646115"/>
          <a:ext cx="1079721" cy="638636"/>
        </a:xfrm>
        <a:prstGeom prst="roundRect">
          <a:avLst/>
        </a:prstGeom>
        <a:solidFill>
          <a:srgbClr val="4F81BD">
            <a:alpha val="90000"/>
            <a:hueOff val="0"/>
            <a:satOff val="0"/>
            <a:lumOff val="0"/>
            <a:alphaOff val="-3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b="1" kern="1200">
              <a:solidFill>
                <a:sysClr val="window" lastClr="FFFFFF"/>
              </a:solidFill>
              <a:latin typeface="Cambria"/>
              <a:ea typeface="+mn-ea"/>
              <a:cs typeface="+mn-cs"/>
            </a:rPr>
            <a:t>Ejecución</a:t>
          </a:r>
        </a:p>
        <a:p>
          <a:pPr lvl="0" algn="ctr" defTabSz="311150">
            <a:lnSpc>
              <a:spcPct val="90000"/>
            </a:lnSpc>
            <a:spcBef>
              <a:spcPct val="0"/>
            </a:spcBef>
            <a:spcAft>
              <a:spcPct val="35000"/>
            </a:spcAft>
          </a:pPr>
          <a:r>
            <a:rPr lang="es-ES" sz="700" kern="1200">
              <a:solidFill>
                <a:sysClr val="window" lastClr="FFFFFF"/>
              </a:solidFill>
              <a:latin typeface="Cambria"/>
              <a:ea typeface="+mn-ea"/>
              <a:cs typeface="+mn-cs"/>
            </a:rPr>
            <a:t>Eficiencia Técnica</a:t>
          </a:r>
        </a:p>
        <a:p>
          <a:pPr lvl="0" algn="ctr" defTabSz="311150">
            <a:lnSpc>
              <a:spcPct val="90000"/>
            </a:lnSpc>
            <a:spcBef>
              <a:spcPct val="0"/>
            </a:spcBef>
            <a:spcAft>
              <a:spcPct val="35000"/>
            </a:spcAft>
          </a:pPr>
          <a:r>
            <a:rPr lang="es-ES" sz="700" kern="1200">
              <a:solidFill>
                <a:sysClr val="window" lastClr="FFFFFF"/>
              </a:solidFill>
              <a:latin typeface="Cambria"/>
              <a:ea typeface="+mn-ea"/>
              <a:cs typeface="+mn-cs"/>
            </a:rPr>
            <a:t>Revisión y seguimiento</a:t>
          </a:r>
        </a:p>
      </dsp:txBody>
      <dsp:txXfrm>
        <a:off x="765001" y="2677291"/>
        <a:ext cx="1017369" cy="576284"/>
      </dsp:txXfrm>
    </dsp:sp>
    <dsp:sp modelId="{B34B5DB4-B535-7E41-8C4E-4E38A6F67DCF}">
      <dsp:nvSpPr>
        <dsp:cNvPr id="0" name=""/>
        <dsp:cNvSpPr/>
      </dsp:nvSpPr>
      <dsp:spPr>
        <a:xfrm>
          <a:off x="224271" y="1043976"/>
          <a:ext cx="1057695" cy="638636"/>
        </a:xfrm>
        <a:prstGeom prst="roundRect">
          <a:avLst/>
        </a:prstGeom>
        <a:solidFill>
          <a:srgbClr val="4F81BD">
            <a:alpha val="90000"/>
            <a:hueOff val="0"/>
            <a:satOff val="0"/>
            <a:lumOff val="0"/>
            <a:alphaOff val="-4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ES" sz="700" b="1" kern="1200">
              <a:solidFill>
                <a:sysClr val="window" lastClr="FFFFFF"/>
              </a:solidFill>
              <a:latin typeface="Cambria"/>
              <a:ea typeface="+mn-ea"/>
              <a:cs typeface="+mn-cs"/>
            </a:rPr>
            <a:t>Evaluación</a:t>
          </a:r>
        </a:p>
        <a:p>
          <a:pPr lvl="0" algn="ctr" defTabSz="311150">
            <a:lnSpc>
              <a:spcPct val="90000"/>
            </a:lnSpc>
            <a:spcBef>
              <a:spcPct val="0"/>
            </a:spcBef>
            <a:spcAft>
              <a:spcPct val="35000"/>
            </a:spcAft>
          </a:pPr>
          <a:r>
            <a:rPr lang="es-ES" sz="700" kern="1200">
              <a:solidFill>
                <a:sysClr val="window" lastClr="FFFFFF"/>
              </a:solidFill>
              <a:latin typeface="Cambria"/>
              <a:ea typeface="+mn-ea"/>
              <a:cs typeface="+mn-cs"/>
            </a:rPr>
            <a:t>Rendición de cuentas</a:t>
          </a:r>
        </a:p>
      </dsp:txBody>
      <dsp:txXfrm>
        <a:off x="255447" y="1075152"/>
        <a:ext cx="995343" cy="576284"/>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E2BB-1444-4725-80FB-26C48277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46</Pages>
  <Words>16321</Words>
  <Characters>89768</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Intelfin</Company>
  <LinksUpToDate>false</LinksUpToDate>
  <CharactersWithSpaces>105878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Intelfin Inteligencia Financiera</dc:creator>
  <cp:keywords/>
  <dc:description/>
  <cp:lastModifiedBy>Usuario</cp:lastModifiedBy>
  <cp:revision>21</cp:revision>
  <dcterms:created xsi:type="dcterms:W3CDTF">2015-07-16T00:41:00Z</dcterms:created>
  <dcterms:modified xsi:type="dcterms:W3CDTF">2015-07-27T23:00:00Z</dcterms:modified>
</cp:coreProperties>
</file>